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1B" w:rsidRPr="0044571B" w:rsidRDefault="0044571B" w:rsidP="0044571B">
      <w:pPr>
        <w:jc w:val="center"/>
        <w:rPr>
          <w:b/>
          <w:i/>
        </w:rPr>
      </w:pPr>
      <w:bookmarkStart w:id="0" w:name="_GoBack"/>
      <w:r w:rsidRPr="0044571B">
        <w:rPr>
          <w:b/>
          <w:i/>
        </w:rPr>
        <w:t>Játékok forgalmazása Magyarországon az Európai Unió előírásaival összhangban</w:t>
      </w:r>
    </w:p>
    <w:bookmarkEnd w:id="0"/>
    <w:p w:rsidR="0044571B" w:rsidRPr="0044571B" w:rsidRDefault="0044571B" w:rsidP="0044571B">
      <w:pPr>
        <w:spacing w:before="100" w:beforeAutospacing="1" w:after="100" w:afterAutospacing="1"/>
      </w:pPr>
      <w:r w:rsidRPr="0044571B">
        <w:t>Az Európai Unióhoz történő csatlakozás feltétele az Unió előírásainak, rendszerének átvétele, amely a termékek forgalomba hozatali követelményeit Magyarországon alapvetően átalakította.</w:t>
      </w:r>
    </w:p>
    <w:p w:rsidR="0044571B" w:rsidRPr="0044571B" w:rsidRDefault="0044571B" w:rsidP="0044571B">
      <w:pPr>
        <w:spacing w:before="100" w:beforeAutospacing="1" w:after="100" w:afterAutospacing="1"/>
      </w:pPr>
      <w:r w:rsidRPr="0044571B">
        <w:rPr>
          <w:b/>
          <w:bCs/>
        </w:rPr>
        <w:t>Szerző:</w:t>
      </w:r>
      <w:r w:rsidRPr="0044571B">
        <w:t xml:space="preserve"> Csonkáné </w:t>
      </w:r>
      <w:proofErr w:type="spellStart"/>
      <w:r w:rsidRPr="0044571B">
        <w:t>Kojnok</w:t>
      </w:r>
      <w:proofErr w:type="spellEnd"/>
      <w:r w:rsidRPr="0044571B">
        <w:t xml:space="preserve"> Magdolna</w:t>
      </w:r>
    </w:p>
    <w:p w:rsidR="0044571B" w:rsidRPr="0044571B" w:rsidRDefault="0044571B" w:rsidP="0044571B">
      <w:pPr>
        <w:spacing w:line="360" w:lineRule="auto"/>
        <w:jc w:val="both"/>
      </w:pPr>
      <w:r w:rsidRPr="0044571B">
        <w:t>Az európai elvek szerint a termékeket megfelelőség-értékelési eljárásnak kell alávetni, melynek módját a termék használatából származó kockázat függvényében jogszabály határozza meg. A gyártó, az importőr önállósága és felelőssége lényegesen nagyobb a korábbi rendszerhez viszonyítva. Ennek ellensúlyozásaként a piacfelügyeletnek kell szigorúbban és hatékonyabban működnie.</w:t>
      </w:r>
    </w:p>
    <w:p w:rsidR="0044571B" w:rsidRPr="0044571B" w:rsidRDefault="0044571B" w:rsidP="0044571B">
      <w:pPr>
        <w:spacing w:line="360" w:lineRule="auto"/>
        <w:jc w:val="both"/>
      </w:pPr>
      <w:r w:rsidRPr="0044571B">
        <w:t>Az Európai Unió legfontosabb alapelve az áruk, a szolgáltatások, a személyek és a tőke szabad áramlása. A fő gazdasági célkitűzés a tartós növekedés, a fellendülés. Ennek egyik mozgatórugója az, ha az egyes országok minél könnyebben minél nagyobb piacon tudnak értékesíteni. Vagyis ha az áruk minél szabadabban mozoghatnak az unió országai között. Az árumozgás felszabadításának csak egyik eszköze a vámok eltörlése, a vámunió létrehozása. Az áruk uniós tagországok közötti mozgását jelentően gátolnák a nem vámjellegű akadályok, az eltérő nemzeti szabályozások, szabványok, egészségügyi, biztonsági és fogyasztóvédelmi előírások. A nemzeti követelményeknek való megfelelés ellenőrzése jelentősen lassítaná az áru egyik országból a másikba történő bejutását. Az akadálymentes árumozgás feltétele a műszaki, technikai, biztonsági, élet-, egészség- és környezetvédelmi előírások, megfelelőség értékelési eljárások egységesítése, összehangolása, kölcsönös elfogadása és alkalmazása. A termékbiztonságot az Unióban többfajta szabályozás együttesen biztosítja, a horizontális jogszabályok, a régi és az új megközelítésű irányelvek, valamint a nem harmonizált területen a nemzeti jogszabályok.</w:t>
      </w:r>
    </w:p>
    <w:p w:rsidR="0044571B" w:rsidRPr="0044571B" w:rsidRDefault="0044571B" w:rsidP="0044571B">
      <w:pPr>
        <w:spacing w:line="360" w:lineRule="auto"/>
        <w:jc w:val="both"/>
      </w:pPr>
      <w:r w:rsidRPr="0044571B">
        <w:t>A műszaki szabályok nagyobb része a régi megközelítés elvén készült, ami teljes részletességű szabályozást jelent.</w:t>
      </w:r>
    </w:p>
    <w:p w:rsidR="0044571B" w:rsidRPr="0044571B" w:rsidRDefault="0044571B" w:rsidP="0044571B">
      <w:pPr>
        <w:spacing w:line="360" w:lineRule="auto"/>
        <w:jc w:val="both"/>
      </w:pPr>
      <w:r w:rsidRPr="0044571B">
        <w:t>1985-ben vezették be az új megközelítés elvét, amelynek lényege, hogy az irányelv az alapvető biztonsági, egészségvédelmi követelményeket írja elő, a részletes követelményeket a harmonizált európai szabványok tartalmazzák, melyek nem kötelezőek. A szabványok alkalmazása önkéntes, de a harmonizált szabványok használata megkönnyíti az irányelvekben szereplő előírások teljesítését.</w:t>
      </w:r>
    </w:p>
    <w:p w:rsidR="0044571B" w:rsidRPr="0044571B" w:rsidRDefault="0044571B" w:rsidP="0044571B">
      <w:pPr>
        <w:spacing w:line="360" w:lineRule="auto"/>
        <w:jc w:val="both"/>
      </w:pPr>
      <w:r w:rsidRPr="0044571B">
        <w:t xml:space="preserve">Az új megközelítésű irányelvek hatálya alá tartozó termékek esetében a követelményeknek való megfelelőséget a terméken vagy annak csomagolásán elhelyezett CE jelölés jelzi a </w:t>
      </w:r>
      <w:r w:rsidRPr="0044571B">
        <w:lastRenderedPageBreak/>
        <w:t>hatóságok számára. A megfelelőségi jelölést a gyártónak kell elhelyeznie. A CE jelölés az alapja a termékek szabad áramlásának, csak az e jelöléssel ellátott magyar termékek kerülhetnek az európai piacra.</w:t>
      </w:r>
    </w:p>
    <w:p w:rsidR="0044571B" w:rsidRPr="0044571B" w:rsidRDefault="0044571B" w:rsidP="0044571B">
      <w:pPr>
        <w:spacing w:line="360" w:lineRule="auto"/>
        <w:jc w:val="both"/>
      </w:pPr>
      <w:r w:rsidRPr="0044571B">
        <w:t> </w:t>
      </w:r>
    </w:p>
    <w:p w:rsidR="0044571B" w:rsidRPr="0044571B" w:rsidRDefault="0044571B" w:rsidP="0044571B">
      <w:pPr>
        <w:spacing w:line="360" w:lineRule="auto"/>
        <w:jc w:val="both"/>
      </w:pPr>
      <w:r w:rsidRPr="0044571B">
        <w:t> </w:t>
      </w:r>
    </w:p>
    <w:p w:rsidR="0044571B" w:rsidRPr="0044571B" w:rsidRDefault="0044571B" w:rsidP="0044571B">
      <w:pPr>
        <w:spacing w:line="360" w:lineRule="auto"/>
        <w:jc w:val="both"/>
      </w:pPr>
      <w:r w:rsidRPr="0044571B">
        <w:t> </w:t>
      </w:r>
    </w:p>
    <w:p w:rsidR="0044571B" w:rsidRPr="0044571B" w:rsidRDefault="0044571B" w:rsidP="0044571B">
      <w:pPr>
        <w:spacing w:line="360" w:lineRule="auto"/>
        <w:jc w:val="both"/>
      </w:pPr>
      <w:r w:rsidRPr="0044571B">
        <w:t>A CE megfelelőségi jelölés azt mutatja, hogy a termék megfelel az alapvető biztonsági és védelmi követelményeknek, valamint azt, hogy az előírt megfelelőség-értékelési eljárást elvégezték. CE megfelelőségi jelöléssel csak az új megközelítésű irányelv által szabályozott termékeket szabad ellátni. A megfelelőségi jelölés alkalmazása önmagában nem elegendő, a használat jogosságát a gyártónak, illetve az importőrnek megfelelő dokumentációval igazolni kell és kérésre azt a piacfelügyeleti hatóságoknak be kell mutatni.</w:t>
      </w:r>
    </w:p>
    <w:p w:rsidR="0044571B" w:rsidRPr="0044571B" w:rsidRDefault="0044571B" w:rsidP="0044571B">
      <w:pPr>
        <w:spacing w:line="360" w:lineRule="auto"/>
        <w:jc w:val="both"/>
      </w:pPr>
      <w:r w:rsidRPr="0044571B">
        <w:t> </w:t>
      </w:r>
    </w:p>
    <w:p w:rsidR="0044571B" w:rsidRPr="0044571B" w:rsidRDefault="0044571B" w:rsidP="0044571B">
      <w:pPr>
        <w:spacing w:line="360" w:lineRule="auto"/>
        <w:jc w:val="both"/>
      </w:pPr>
      <w:r w:rsidRPr="0044571B">
        <w:t xml:space="preserve">A játékok abba a termékcsoportba tartoznak, amelyre új megközelítésű irányelvet dolgoztak ki. A 88/378/EEC Direktíva, figyelemmel az Európai Bizottságnak a fogyasztók életének, biztonságának és vagyoni érdekeinek védelmével kapcsolatos fogyasztóvédelmi politikájára határozza meg a játékok fő biztonsági követelményeit. A direktíva az egyes tagállamokban kötelező nemzeti jogszabályként került alkalmazásra és ezt a csatlakozni kívánó országoktól is elvárták. Magyarországon a 88/378/EEC direktíva előírásai a gyermekjátékszerek biztonságossági követelményeiről, vizsgálatáról és tanúsításáról szóló 24/1998. (IV.29.) IKIM-NM együttes rendeletben jelentek meg, a rendelet 1999 januárjában lépett hatályba. A rendelet módosítására </w:t>
      </w:r>
      <w:proofErr w:type="gramStart"/>
      <w:r w:rsidRPr="0044571B">
        <w:t>2002. decemberében</w:t>
      </w:r>
      <w:proofErr w:type="gramEnd"/>
      <w:r w:rsidRPr="0044571B">
        <w:t xml:space="preserve"> került sor, amelynek célja a rendelet tökéletes harmonizálása, vagyis a direktívának való teljes megfelelés elérése volt. A Gyermekjátékszerek biztonsága című EN 71 szabványsorozat hat tagjának harmonizálása megtörtént és MSZ EN 71-1-6 megnevezéssel kerültek bevezetésre.</w:t>
      </w:r>
    </w:p>
    <w:p w:rsidR="0044571B" w:rsidRPr="0044571B" w:rsidRDefault="0044571B" w:rsidP="0044571B">
      <w:pPr>
        <w:spacing w:before="480" w:after="480"/>
        <w:outlineLvl w:val="0"/>
        <w:rPr>
          <w:b/>
          <w:bCs/>
          <w:kern w:val="36"/>
        </w:rPr>
      </w:pPr>
      <w:r w:rsidRPr="0044571B">
        <w:rPr>
          <w:kern w:val="36"/>
        </w:rPr>
        <w:t>Játékok biztonsága</w:t>
      </w:r>
    </w:p>
    <w:p w:rsidR="0044571B" w:rsidRPr="0044571B" w:rsidRDefault="0044571B" w:rsidP="0044571B">
      <w:pPr>
        <w:spacing w:line="360" w:lineRule="auto"/>
        <w:jc w:val="both"/>
      </w:pPr>
      <w:r w:rsidRPr="0044571B">
        <w:t>A 24/1998. (IV.29.) IKIM-NM rendelet azokat a biztonságossági és egészségügy követelményeket fogalmazza meg, amelyek teljesülése nélkül az EU-ban és Magyarországon gyermekjátékszer nem hozható forgalomba.</w:t>
      </w:r>
    </w:p>
    <w:p w:rsidR="0044571B" w:rsidRPr="0044571B" w:rsidRDefault="0044571B" w:rsidP="0044571B">
      <w:r w:rsidRPr="0044571B">
        <w:t>A rendelet értelmében gyermekjátékszer minden olyan termék, amelyet egyértelműen játék céljára terveztek és gyártottak 14 évnél fiatalabb gyermekek számára.</w:t>
      </w:r>
    </w:p>
    <w:p w:rsidR="0044571B" w:rsidRPr="0044571B" w:rsidRDefault="0044571B" w:rsidP="0044571B">
      <w:r w:rsidRPr="0044571B">
        <w:t>A rendelet felsorolja azokat a termékeket - amelyeket gyermekek is használhatnak, - de nem esnek a jogszabály hatálya alá, nem minősülnek játéknak:</w:t>
      </w:r>
    </w:p>
    <w:p w:rsidR="0044571B" w:rsidRPr="0044571B" w:rsidRDefault="0044571B" w:rsidP="0044571B">
      <w:pPr>
        <w:numPr>
          <w:ilvl w:val="0"/>
          <w:numId w:val="1"/>
        </w:numPr>
        <w:spacing w:before="100" w:beforeAutospacing="1" w:after="100" w:afterAutospacing="1"/>
        <w:ind w:left="1440"/>
      </w:pPr>
      <w:r w:rsidRPr="0044571B">
        <w:lastRenderedPageBreak/>
        <w:t>  játszótéri eszközök,</w:t>
      </w:r>
    </w:p>
    <w:p w:rsidR="0044571B" w:rsidRPr="0044571B" w:rsidRDefault="0044571B" w:rsidP="0044571B">
      <w:pPr>
        <w:numPr>
          <w:ilvl w:val="0"/>
          <w:numId w:val="1"/>
        </w:numPr>
        <w:spacing w:before="100" w:beforeAutospacing="1" w:after="100" w:afterAutospacing="1" w:line="360" w:lineRule="auto"/>
        <w:ind w:left="1440"/>
        <w:jc w:val="both"/>
      </w:pPr>
      <w:r w:rsidRPr="0044571B">
        <w:t>karácsonyfadíszek,</w:t>
      </w:r>
    </w:p>
    <w:p w:rsidR="0044571B" w:rsidRPr="0044571B" w:rsidRDefault="0044571B" w:rsidP="0044571B">
      <w:pPr>
        <w:numPr>
          <w:ilvl w:val="0"/>
          <w:numId w:val="1"/>
        </w:numPr>
        <w:spacing w:before="100" w:beforeAutospacing="1" w:after="100" w:afterAutospacing="1" w:line="360" w:lineRule="auto"/>
        <w:ind w:left="1440"/>
        <w:jc w:val="both"/>
      </w:pPr>
      <w:r w:rsidRPr="0044571B">
        <w:t> mérethű modellek felnőtt gyűjtőknek,</w:t>
      </w:r>
    </w:p>
    <w:p w:rsidR="0044571B" w:rsidRPr="0044571B" w:rsidRDefault="0044571B" w:rsidP="0044571B">
      <w:pPr>
        <w:numPr>
          <w:ilvl w:val="0"/>
          <w:numId w:val="1"/>
        </w:numPr>
        <w:spacing w:before="100" w:beforeAutospacing="1" w:after="100" w:afterAutospacing="1" w:line="360" w:lineRule="auto"/>
        <w:ind w:left="1440"/>
        <w:jc w:val="both"/>
      </w:pPr>
      <w:r w:rsidRPr="0044571B">
        <w:t>  sporteszközök,</w:t>
      </w:r>
    </w:p>
    <w:p w:rsidR="0044571B" w:rsidRPr="0044571B" w:rsidRDefault="0044571B" w:rsidP="0044571B">
      <w:pPr>
        <w:numPr>
          <w:ilvl w:val="0"/>
          <w:numId w:val="1"/>
        </w:numPr>
        <w:spacing w:before="100" w:beforeAutospacing="1" w:after="100" w:afterAutospacing="1" w:line="360" w:lineRule="auto"/>
        <w:ind w:left="1440"/>
        <w:jc w:val="both"/>
      </w:pPr>
      <w:r w:rsidRPr="0044571B">
        <w:t>mélyvízi használatra szánt vízi sporteszközök,</w:t>
      </w:r>
    </w:p>
    <w:p w:rsidR="0044571B" w:rsidRPr="0044571B" w:rsidRDefault="0044571B" w:rsidP="0044571B">
      <w:pPr>
        <w:numPr>
          <w:ilvl w:val="0"/>
          <w:numId w:val="1"/>
        </w:numPr>
        <w:spacing w:before="100" w:beforeAutospacing="1" w:after="100" w:afterAutospacing="1" w:line="360" w:lineRule="auto"/>
        <w:ind w:left="1440"/>
        <w:jc w:val="both"/>
      </w:pPr>
      <w:r w:rsidRPr="0044571B">
        <w:t>népművészeti babák, dekorációs babák és hasonló cikkek felnőtt gyűjtők számára,</w:t>
      </w:r>
    </w:p>
    <w:p w:rsidR="0044571B" w:rsidRPr="0044571B" w:rsidRDefault="0044571B" w:rsidP="0044571B">
      <w:pPr>
        <w:numPr>
          <w:ilvl w:val="0"/>
          <w:numId w:val="1"/>
        </w:numPr>
        <w:spacing w:before="100" w:beforeAutospacing="1" w:after="100" w:afterAutospacing="1"/>
        <w:ind w:left="1440"/>
      </w:pPr>
      <w:r w:rsidRPr="0044571B">
        <w:t>  „professzionális” játékok, amelyeket nyilvánosan hozzáférhető helyen (áruházak, pályaudvarok stb.) állították fel,</w:t>
      </w:r>
    </w:p>
    <w:p w:rsidR="0044571B" w:rsidRPr="0044571B" w:rsidRDefault="0044571B" w:rsidP="0044571B">
      <w:pPr>
        <w:numPr>
          <w:ilvl w:val="0"/>
          <w:numId w:val="1"/>
        </w:numPr>
        <w:spacing w:before="100" w:beforeAutospacing="1" w:after="100" w:afterAutospacing="1" w:line="360" w:lineRule="auto"/>
        <w:ind w:left="1440"/>
        <w:jc w:val="both"/>
      </w:pPr>
      <w:r w:rsidRPr="0044571B">
        <w:t>  500 darabosnál nagyobb vagy speciális tudást igénylő, kép nélküli puzzle játék,</w:t>
      </w:r>
    </w:p>
    <w:p w:rsidR="0044571B" w:rsidRPr="0044571B" w:rsidRDefault="0044571B" w:rsidP="0044571B">
      <w:pPr>
        <w:numPr>
          <w:ilvl w:val="0"/>
          <w:numId w:val="1"/>
        </w:numPr>
        <w:spacing w:before="100" w:beforeAutospacing="1" w:after="100" w:afterAutospacing="1" w:line="360" w:lineRule="auto"/>
        <w:ind w:left="1440"/>
        <w:jc w:val="both"/>
      </w:pPr>
      <w:r w:rsidRPr="0044571B">
        <w:t>légpuskák és légpisztolyok,</w:t>
      </w:r>
    </w:p>
    <w:p w:rsidR="0044571B" w:rsidRPr="0044571B" w:rsidRDefault="0044571B" w:rsidP="0044571B">
      <w:pPr>
        <w:numPr>
          <w:ilvl w:val="0"/>
          <w:numId w:val="1"/>
        </w:numPr>
        <w:spacing w:before="100" w:beforeAutospacing="1" w:after="100" w:afterAutospacing="1"/>
        <w:ind w:left="1440"/>
      </w:pPr>
      <w:r w:rsidRPr="0044571B">
        <w:t>patronok, beleértve a petárdákat is, kivéve azokat, amelyeket kimondottan játékban való használatra terveztek,</w:t>
      </w:r>
    </w:p>
    <w:p w:rsidR="0044571B" w:rsidRPr="0044571B" w:rsidRDefault="0044571B" w:rsidP="0044571B">
      <w:pPr>
        <w:numPr>
          <w:ilvl w:val="0"/>
          <w:numId w:val="1"/>
        </w:numPr>
        <w:spacing w:before="100" w:beforeAutospacing="1" w:after="100" w:afterAutospacing="1" w:line="360" w:lineRule="auto"/>
        <w:ind w:left="1440"/>
        <w:jc w:val="both"/>
      </w:pPr>
      <w:r w:rsidRPr="0044571B">
        <w:t> parittyák és hajlítók, (ide tartoznak a csúzlik is)</w:t>
      </w:r>
    </w:p>
    <w:p w:rsidR="0044571B" w:rsidRPr="0044571B" w:rsidRDefault="0044571B" w:rsidP="0044571B">
      <w:pPr>
        <w:numPr>
          <w:ilvl w:val="0"/>
          <w:numId w:val="1"/>
        </w:numPr>
        <w:spacing w:before="100" w:beforeAutospacing="1" w:after="100" w:afterAutospacing="1" w:line="360" w:lineRule="auto"/>
        <w:ind w:left="1440"/>
        <w:jc w:val="both"/>
      </w:pPr>
      <w:r w:rsidRPr="0044571B">
        <w:t>  fémhegyes nyíljátékok,</w:t>
      </w:r>
    </w:p>
    <w:p w:rsidR="0044571B" w:rsidRPr="0044571B" w:rsidRDefault="0044571B" w:rsidP="0044571B">
      <w:pPr>
        <w:numPr>
          <w:ilvl w:val="0"/>
          <w:numId w:val="1"/>
        </w:numPr>
        <w:spacing w:before="100" w:beforeAutospacing="1" w:after="100" w:afterAutospacing="1"/>
        <w:ind w:left="1440"/>
      </w:pPr>
      <w:r w:rsidRPr="0044571B">
        <w:t xml:space="preserve">     villamos tűzhelyek, vasalók vagy más működő játékok, amelyek működtetésekor a névleges feszültség meghaladja a 24 </w:t>
      </w:r>
      <w:proofErr w:type="spellStart"/>
      <w:r w:rsidRPr="0044571B">
        <w:t>V-ot</w:t>
      </w:r>
      <w:proofErr w:type="spellEnd"/>
      <w:r w:rsidRPr="0044571B">
        <w:t>,</w:t>
      </w:r>
    </w:p>
    <w:p w:rsidR="0044571B" w:rsidRPr="0044571B" w:rsidRDefault="0044571B" w:rsidP="0044571B">
      <w:pPr>
        <w:numPr>
          <w:ilvl w:val="0"/>
          <w:numId w:val="1"/>
        </w:numPr>
        <w:spacing w:before="100" w:beforeAutospacing="1" w:after="100" w:afterAutospacing="1"/>
        <w:ind w:left="1440"/>
      </w:pPr>
      <w:r w:rsidRPr="0044571B">
        <w:t> olyan termékek, amelyek fűtőelemeket tartalmaznak és felnőtt felügyelete mellett oktató játékként használnak,</w:t>
      </w:r>
    </w:p>
    <w:p w:rsidR="0044571B" w:rsidRPr="0044571B" w:rsidRDefault="0044571B" w:rsidP="0044571B">
      <w:pPr>
        <w:numPr>
          <w:ilvl w:val="0"/>
          <w:numId w:val="1"/>
        </w:numPr>
        <w:spacing w:before="100" w:beforeAutospacing="1" w:after="100" w:afterAutospacing="1" w:line="360" w:lineRule="auto"/>
        <w:ind w:left="1440"/>
        <w:jc w:val="both"/>
      </w:pPr>
      <w:r w:rsidRPr="0044571B">
        <w:t> belső égésű motoros járművek,</w:t>
      </w:r>
    </w:p>
    <w:p w:rsidR="0044571B" w:rsidRPr="0044571B" w:rsidRDefault="0044571B" w:rsidP="0044571B">
      <w:pPr>
        <w:numPr>
          <w:ilvl w:val="0"/>
          <w:numId w:val="1"/>
        </w:numPr>
        <w:spacing w:before="100" w:beforeAutospacing="1" w:after="100" w:afterAutospacing="1" w:line="360" w:lineRule="auto"/>
        <w:ind w:left="1440"/>
        <w:jc w:val="both"/>
      </w:pPr>
      <w:r w:rsidRPr="0044571B">
        <w:t>  játék gőzgépek,</w:t>
      </w:r>
    </w:p>
    <w:p w:rsidR="0044571B" w:rsidRPr="0044571B" w:rsidRDefault="0044571B" w:rsidP="0044571B">
      <w:pPr>
        <w:numPr>
          <w:ilvl w:val="0"/>
          <w:numId w:val="1"/>
        </w:numPr>
        <w:spacing w:before="100" w:beforeAutospacing="1" w:after="100" w:afterAutospacing="1"/>
        <w:ind w:left="1440"/>
      </w:pPr>
      <w:r w:rsidRPr="0044571B">
        <w:t> 435 mm-nél magasabb nyereg magasságú kerékpárok, amelyeket sportszerként használnak, vagy közutakon való közlekedésre terveztek,</w:t>
      </w:r>
    </w:p>
    <w:p w:rsidR="0044571B" w:rsidRPr="0044571B" w:rsidRDefault="0044571B" w:rsidP="0044571B">
      <w:pPr>
        <w:numPr>
          <w:ilvl w:val="0"/>
          <w:numId w:val="1"/>
        </w:numPr>
        <w:spacing w:before="100" w:beforeAutospacing="1" w:after="100" w:afterAutospacing="1"/>
        <w:ind w:left="1440"/>
      </w:pPr>
      <w:r w:rsidRPr="0044571B">
        <w:t xml:space="preserve"> videojátékok, amelyeket videó képernyőhöz lehet csatlakoztatni, és 24 </w:t>
      </w:r>
      <w:proofErr w:type="spellStart"/>
      <w:r w:rsidRPr="0044571B">
        <w:t>V-ot</w:t>
      </w:r>
      <w:proofErr w:type="spellEnd"/>
      <w:r w:rsidRPr="0044571B">
        <w:t xml:space="preserve"> meghaladó névleges feszültséggel kell működtetni,</w:t>
      </w:r>
    </w:p>
    <w:p w:rsidR="0044571B" w:rsidRPr="0044571B" w:rsidRDefault="0044571B" w:rsidP="0044571B">
      <w:pPr>
        <w:numPr>
          <w:ilvl w:val="0"/>
          <w:numId w:val="1"/>
        </w:numPr>
        <w:spacing w:before="100" w:beforeAutospacing="1" w:after="100" w:afterAutospacing="1" w:line="360" w:lineRule="auto"/>
        <w:ind w:left="1440"/>
        <w:jc w:val="both"/>
      </w:pPr>
      <w:r w:rsidRPr="0044571B">
        <w:t> valódi lőfegyverek hű utánzatai,</w:t>
      </w:r>
    </w:p>
    <w:p w:rsidR="0044571B" w:rsidRPr="0044571B" w:rsidRDefault="0044571B" w:rsidP="0044571B">
      <w:pPr>
        <w:numPr>
          <w:ilvl w:val="0"/>
          <w:numId w:val="1"/>
        </w:numPr>
        <w:spacing w:before="100" w:beforeAutospacing="1" w:after="100" w:afterAutospacing="1" w:line="360" w:lineRule="auto"/>
        <w:ind w:left="1440"/>
        <w:jc w:val="both"/>
      </w:pPr>
      <w:r w:rsidRPr="0044571B">
        <w:t>gyermek divatékszerek,</w:t>
      </w:r>
    </w:p>
    <w:p w:rsidR="0044571B" w:rsidRPr="0044571B" w:rsidRDefault="0044571B" w:rsidP="0044571B">
      <w:pPr>
        <w:numPr>
          <w:ilvl w:val="0"/>
          <w:numId w:val="1"/>
        </w:numPr>
        <w:spacing w:before="100" w:beforeAutospacing="1" w:after="100" w:afterAutospacing="1" w:line="360" w:lineRule="auto"/>
        <w:ind w:left="1440"/>
        <w:jc w:val="both"/>
      </w:pPr>
      <w:r w:rsidRPr="0044571B">
        <w:t> cumik, cuclik,</w:t>
      </w:r>
    </w:p>
    <w:p w:rsidR="0044571B" w:rsidRPr="0044571B" w:rsidRDefault="0044571B" w:rsidP="0044571B">
      <w:pPr>
        <w:numPr>
          <w:ilvl w:val="0"/>
          <w:numId w:val="1"/>
        </w:numPr>
        <w:spacing w:before="100" w:beforeAutospacing="1" w:after="100" w:afterAutospacing="1" w:line="360" w:lineRule="auto"/>
        <w:ind w:left="1440"/>
        <w:jc w:val="both"/>
      </w:pPr>
      <w:r w:rsidRPr="0044571B">
        <w:t> úszási segédeszközök, pl.: karúszók,</w:t>
      </w:r>
    </w:p>
    <w:p w:rsidR="0044571B" w:rsidRPr="0044571B" w:rsidRDefault="0044571B" w:rsidP="0044571B">
      <w:pPr>
        <w:numPr>
          <w:ilvl w:val="0"/>
          <w:numId w:val="1"/>
        </w:numPr>
        <w:spacing w:before="100" w:beforeAutospacing="1" w:after="100" w:afterAutospacing="1" w:line="360" w:lineRule="auto"/>
        <w:ind w:left="1440"/>
        <w:jc w:val="both"/>
      </w:pPr>
      <w:r w:rsidRPr="0044571B">
        <w:t>úszó-, búvárszemüvegek, napszemüvegek és más szemvédő eszközök,</w:t>
      </w:r>
    </w:p>
    <w:p w:rsidR="0044571B" w:rsidRPr="0044571B" w:rsidRDefault="0044571B" w:rsidP="0044571B">
      <w:pPr>
        <w:numPr>
          <w:ilvl w:val="0"/>
          <w:numId w:val="1"/>
        </w:numPr>
        <w:spacing w:before="100" w:beforeAutospacing="1" w:after="100" w:afterAutospacing="1" w:line="360" w:lineRule="auto"/>
        <w:ind w:left="1440"/>
        <w:jc w:val="both"/>
      </w:pPr>
      <w:r w:rsidRPr="0044571B">
        <w:t> kerékpár, gördeszka és egyéb védősisak,</w:t>
      </w:r>
    </w:p>
    <w:p w:rsidR="0044571B" w:rsidRPr="0044571B" w:rsidRDefault="0044571B" w:rsidP="0044571B">
      <w:pPr>
        <w:numPr>
          <w:ilvl w:val="0"/>
          <w:numId w:val="1"/>
        </w:numPr>
        <w:spacing w:before="100" w:beforeAutospacing="1" w:after="100" w:afterAutospacing="1"/>
        <w:ind w:left="1440"/>
      </w:pPr>
      <w:r w:rsidRPr="0044571B">
        <w:t> repülő játékok, amelyeket a gyerek gumiszalag segítségével reptetésre használ (pl. repülőgépek és rakéták), ezeket katapultnak kell tekinteni,</w:t>
      </w:r>
    </w:p>
    <w:p w:rsidR="0044571B" w:rsidRPr="0044571B" w:rsidRDefault="0044571B" w:rsidP="0044571B">
      <w:pPr>
        <w:numPr>
          <w:ilvl w:val="0"/>
          <w:numId w:val="1"/>
        </w:numPr>
        <w:spacing w:before="100" w:beforeAutospacing="1" w:after="100" w:afterAutospacing="1"/>
        <w:ind w:left="1440"/>
      </w:pPr>
      <w:r w:rsidRPr="0044571B">
        <w:t>  nyilazásra használt íjak, amelyek hossza laza, nem feszített állapotban a 120cm-t meghaladják.</w:t>
      </w:r>
    </w:p>
    <w:p w:rsidR="0044571B" w:rsidRPr="0044571B" w:rsidRDefault="0044571B" w:rsidP="0044571B">
      <w:r w:rsidRPr="0044571B">
        <w:t> </w:t>
      </w:r>
    </w:p>
    <w:p w:rsidR="0044571B" w:rsidRPr="0044571B" w:rsidRDefault="0044571B" w:rsidP="0044571B">
      <w:r w:rsidRPr="0044571B">
        <w:t xml:space="preserve">Az Európai Bizottság 1999/15/EK számú határozatával egyenértékű a háromévesnél fiatalabb gyermekek számára, lágy PVC-ből készült gyermekjátékokban és gyermekápolási cikkekben alkalmazott egyes lágyítók korlátozásáról szóló 14/2002. (III.28.) GM-EüM együttes rendelet. </w:t>
      </w:r>
      <w:r w:rsidRPr="0044571B">
        <w:lastRenderedPageBreak/>
        <w:t xml:space="preserve">E rendelet szerint a 3 évnél fiatalabb gyermekek számára készített PVC játékokhoz nem lehet olyan PVC anyagot felhasználni, amely </w:t>
      </w:r>
      <w:proofErr w:type="spellStart"/>
      <w:r w:rsidRPr="0044571B">
        <w:t>ftálsav-észter</w:t>
      </w:r>
      <w:proofErr w:type="spellEnd"/>
      <w:r w:rsidRPr="0044571B">
        <w:t xml:space="preserve"> lágyítót tartalmaz.</w:t>
      </w:r>
    </w:p>
    <w:p w:rsidR="0044571B" w:rsidRPr="0044571B" w:rsidRDefault="0044571B" w:rsidP="0044571B">
      <w:pPr>
        <w:spacing w:before="120"/>
      </w:pPr>
      <w:r w:rsidRPr="0044571B">
        <w:t xml:space="preserve">A játékok tervezésekor, gyártásakor és forgalmazásakor a 24/1998. (IV.29.) IKIM-NM és a 14/2002. (III.28.) GM-EüM együttes rendelet előírásait feltétlenül figyelembe kell venni, mert ennek elmulasztása akadálya lehet a piacon való megjelenésnek. A gyártók, importőrök és forgalmazók csak biztonságos játékot helyezhetnek el a piacon, a biztonságossági követelményeket a fenti jogszabályok és nemzeti szabványok írják elő. A 24/1998. (IV.29.) IKIM-NM rendelet nem csupán általánosan - esetenként részletesen - megfogalmazott előírásokat határoz meg a biztonságosságot érintő termékjellemzők vonatkozásában, hanem a játékok rendeltetésszerű használata során fellépő kockázatokról, azok elkerüléséről ill., minimálisra való csökkentésének módjáról történő tájékoztatási kötelezettséget is előír a gyártók és az importőrök számára. Az MSZ EN 71-es szabványok konkrét és részletes biztonsági előírásokat fogalmaznak meg ill., vizsgálati módszereket írnak le. </w:t>
      </w:r>
    </w:p>
    <w:p w:rsidR="0044571B" w:rsidRPr="0044571B" w:rsidRDefault="0044571B" w:rsidP="0044571B">
      <w:r w:rsidRPr="0044571B">
        <w:t>A jogszabályi előírások szerint a gyártó vagy képviselője köteles a játék biztonságos használatáról meggyőződni, ezt a CE megfelelőségi jelölés feltüntetésével igazolni illetve, a rendeletben felsorolt dokumentációkkal alátámasztani azok jogszerű használatát, továbbá a fogyasztóvédelmi törvényben előírt címkézést, használati-kezelési útmutatót biztosítani.</w:t>
      </w:r>
    </w:p>
    <w:p w:rsidR="0044571B" w:rsidRPr="0044571B" w:rsidRDefault="0044571B" w:rsidP="0044571B">
      <w:r w:rsidRPr="0044571B">
        <w:t> </w:t>
      </w:r>
    </w:p>
    <w:p w:rsidR="0044571B" w:rsidRPr="0044571B" w:rsidRDefault="0044571B" w:rsidP="0044571B">
      <w:r w:rsidRPr="0044571B">
        <w:t>Milyen dokumentációt kell bemutatni a piacfelügyeleti hatóságok részére?</w:t>
      </w:r>
    </w:p>
    <w:p w:rsidR="0044571B" w:rsidRPr="0044571B" w:rsidRDefault="0044571B" w:rsidP="0044571B">
      <w:pPr>
        <w:spacing w:before="240"/>
        <w:jc w:val="both"/>
      </w:pPr>
      <w:r w:rsidRPr="0044571B">
        <w:t>A harmonizált szabványoknak való megfelelés esetén:</w:t>
      </w:r>
    </w:p>
    <w:p w:rsidR="0044571B" w:rsidRPr="0044571B" w:rsidRDefault="0044571B" w:rsidP="0044571B">
      <w:pPr>
        <w:numPr>
          <w:ilvl w:val="0"/>
          <w:numId w:val="2"/>
        </w:numPr>
        <w:spacing w:before="100" w:beforeAutospacing="1" w:after="100" w:afterAutospacing="1"/>
        <w:ind w:left="1440"/>
        <w:jc w:val="both"/>
      </w:pPr>
      <w:r w:rsidRPr="0044571B">
        <w:t>A gyártó által kiadott megfelelőségi nyilatkozat, amely szerint a játék a vizsgált mintadarabnak és a jogszabályban, valamint a szabványokban leírt biztonsági követelményeknek megfelel,</w:t>
      </w:r>
    </w:p>
    <w:p w:rsidR="0044571B" w:rsidRPr="0044571B" w:rsidRDefault="0044571B" w:rsidP="0044571B">
      <w:pPr>
        <w:numPr>
          <w:ilvl w:val="0"/>
          <w:numId w:val="2"/>
        </w:numPr>
        <w:spacing w:before="100" w:beforeAutospacing="1" w:after="100" w:afterAutospacing="1" w:line="360" w:lineRule="auto"/>
        <w:ind w:left="1440"/>
        <w:jc w:val="both"/>
      </w:pPr>
      <w:r w:rsidRPr="0044571B">
        <w:rPr>
          <w:color w:val="000000"/>
        </w:rPr>
        <w:t>Vizsgálati jegyzőkönyvek,</w:t>
      </w:r>
    </w:p>
    <w:p w:rsidR="0044571B" w:rsidRPr="0044571B" w:rsidRDefault="0044571B" w:rsidP="0044571B">
      <w:pPr>
        <w:numPr>
          <w:ilvl w:val="0"/>
          <w:numId w:val="2"/>
        </w:numPr>
        <w:spacing w:before="100" w:beforeAutospacing="1" w:after="100" w:afterAutospacing="1" w:line="360" w:lineRule="auto"/>
        <w:ind w:left="1440"/>
        <w:jc w:val="both"/>
      </w:pPr>
      <w:r w:rsidRPr="0044571B">
        <w:rPr>
          <w:color w:val="000000"/>
        </w:rPr>
        <w:t> A kijelölt vizsgáló intézetnek benyújtott dokumentumok másolata.</w:t>
      </w:r>
    </w:p>
    <w:p w:rsidR="0044571B" w:rsidRPr="0044571B" w:rsidRDefault="0044571B" w:rsidP="0044571B">
      <w:pPr>
        <w:spacing w:before="120" w:after="120"/>
        <w:jc w:val="both"/>
      </w:pPr>
      <w:r w:rsidRPr="0044571B">
        <w:t>Vagy:</w:t>
      </w:r>
    </w:p>
    <w:p w:rsidR="0044571B" w:rsidRPr="0044571B" w:rsidRDefault="0044571B" w:rsidP="0044571B">
      <w:pPr>
        <w:numPr>
          <w:ilvl w:val="0"/>
          <w:numId w:val="3"/>
        </w:numPr>
        <w:spacing w:before="100" w:beforeAutospacing="1" w:after="100" w:afterAutospacing="1" w:line="360" w:lineRule="auto"/>
        <w:ind w:left="1440"/>
        <w:jc w:val="both"/>
      </w:pPr>
      <w:r w:rsidRPr="0044571B">
        <w:rPr>
          <w:color w:val="000000"/>
        </w:rPr>
        <w:t>Kijelölt tanúsító intézet által kiadott megfelelőségi tanúsítvány, amely igazolja, hogy a játék a jogszabályban és szabványokban leírt biztonsági követelményeknek megfelel,</w:t>
      </w:r>
    </w:p>
    <w:p w:rsidR="0044571B" w:rsidRPr="0044571B" w:rsidRDefault="0044571B" w:rsidP="0044571B">
      <w:pPr>
        <w:numPr>
          <w:ilvl w:val="0"/>
          <w:numId w:val="3"/>
        </w:numPr>
        <w:spacing w:before="100" w:beforeAutospacing="1" w:after="100" w:afterAutospacing="1" w:line="360" w:lineRule="auto"/>
        <w:ind w:left="1440"/>
        <w:jc w:val="both"/>
      </w:pPr>
      <w:r w:rsidRPr="0044571B">
        <w:rPr>
          <w:color w:val="000000"/>
        </w:rPr>
        <w:t>Vizsgálati jegyzőkönyvek,</w:t>
      </w:r>
    </w:p>
    <w:p w:rsidR="0044571B" w:rsidRPr="0044571B" w:rsidRDefault="0044571B" w:rsidP="0044571B">
      <w:pPr>
        <w:numPr>
          <w:ilvl w:val="0"/>
          <w:numId w:val="3"/>
        </w:numPr>
        <w:spacing w:before="100" w:beforeAutospacing="1" w:after="100" w:afterAutospacing="1" w:line="360" w:lineRule="auto"/>
        <w:ind w:left="1440"/>
        <w:jc w:val="both"/>
      </w:pPr>
      <w:r w:rsidRPr="0044571B">
        <w:rPr>
          <w:color w:val="000000"/>
        </w:rPr>
        <w:t>A kijelölt tanúsító és vizsgáló intézetnek benyújtott dokumentumok másolata.</w:t>
      </w:r>
    </w:p>
    <w:p w:rsidR="0044571B" w:rsidRPr="0044571B" w:rsidRDefault="0044571B" w:rsidP="0044571B">
      <w:pPr>
        <w:spacing w:before="240" w:after="240"/>
        <w:jc w:val="both"/>
      </w:pPr>
      <w:r w:rsidRPr="0044571B">
        <w:t>A jogszabály biztonsági előírásainak való megfelelés esetén:</w:t>
      </w:r>
    </w:p>
    <w:p w:rsidR="0044571B" w:rsidRPr="0044571B" w:rsidRDefault="0044571B" w:rsidP="0044571B">
      <w:pPr>
        <w:numPr>
          <w:ilvl w:val="0"/>
          <w:numId w:val="4"/>
        </w:numPr>
        <w:spacing w:before="100" w:beforeAutospacing="1" w:after="100" w:afterAutospacing="1" w:line="360" w:lineRule="auto"/>
        <w:ind w:left="1440"/>
        <w:jc w:val="both"/>
      </w:pPr>
      <w:r w:rsidRPr="0044571B">
        <w:rPr>
          <w:color w:val="000000"/>
        </w:rPr>
        <w:t>A gyártó által kiadott megfelelőségi nyilatkozat, amely szerint a játék a típusvizsgálati tanúsítvány szerinti típusmintának és a jogszabályban leírt biztonsági követelményeknek megfelel,</w:t>
      </w:r>
    </w:p>
    <w:p w:rsidR="0044571B" w:rsidRPr="0044571B" w:rsidRDefault="0044571B" w:rsidP="0044571B">
      <w:pPr>
        <w:numPr>
          <w:ilvl w:val="0"/>
          <w:numId w:val="4"/>
        </w:numPr>
        <w:spacing w:before="100" w:beforeAutospacing="1" w:after="100" w:afterAutospacing="1" w:line="360" w:lineRule="auto"/>
        <w:ind w:left="1440"/>
        <w:jc w:val="both"/>
      </w:pPr>
      <w:r w:rsidRPr="0044571B">
        <w:rPr>
          <w:color w:val="000000"/>
        </w:rPr>
        <w:t>Kijelölt tanúsító intézet által kiadott típusvizsgálati tanúsítvány,</w:t>
      </w:r>
    </w:p>
    <w:p w:rsidR="0044571B" w:rsidRPr="0044571B" w:rsidRDefault="0044571B" w:rsidP="0044571B">
      <w:pPr>
        <w:numPr>
          <w:ilvl w:val="0"/>
          <w:numId w:val="4"/>
        </w:numPr>
        <w:spacing w:before="100" w:beforeAutospacing="1" w:after="100" w:afterAutospacing="1" w:line="360" w:lineRule="auto"/>
        <w:ind w:left="1440"/>
        <w:jc w:val="both"/>
      </w:pPr>
      <w:r w:rsidRPr="0044571B">
        <w:rPr>
          <w:color w:val="000000"/>
        </w:rPr>
        <w:t> Vizsgálati jegyzőkönyvek,</w:t>
      </w:r>
    </w:p>
    <w:p w:rsidR="0044571B" w:rsidRPr="0044571B" w:rsidRDefault="0044571B" w:rsidP="0044571B">
      <w:pPr>
        <w:numPr>
          <w:ilvl w:val="0"/>
          <w:numId w:val="4"/>
        </w:numPr>
        <w:spacing w:before="100" w:beforeAutospacing="1" w:after="100" w:afterAutospacing="1" w:line="360" w:lineRule="auto"/>
        <w:ind w:left="1440"/>
        <w:jc w:val="both"/>
      </w:pPr>
      <w:r w:rsidRPr="0044571B">
        <w:rPr>
          <w:color w:val="000000"/>
        </w:rPr>
        <w:t>A kijelölt tanúsító és vizsgáló intézetnek benyújtott dokumentumok másolata.</w:t>
      </w:r>
    </w:p>
    <w:p w:rsidR="0044571B" w:rsidRPr="0044571B" w:rsidRDefault="0044571B" w:rsidP="0044571B">
      <w:pPr>
        <w:spacing w:before="120" w:after="120"/>
        <w:jc w:val="both"/>
      </w:pPr>
      <w:r w:rsidRPr="0044571B">
        <w:lastRenderedPageBreak/>
        <w:t>Vagy:</w:t>
      </w:r>
    </w:p>
    <w:p w:rsidR="0044571B" w:rsidRPr="0044571B" w:rsidRDefault="0044571B" w:rsidP="0044571B">
      <w:pPr>
        <w:numPr>
          <w:ilvl w:val="0"/>
          <w:numId w:val="5"/>
        </w:numPr>
        <w:spacing w:before="100" w:beforeAutospacing="1" w:after="100" w:afterAutospacing="1" w:line="360" w:lineRule="auto"/>
        <w:ind w:left="1440"/>
        <w:jc w:val="both"/>
      </w:pPr>
      <w:r w:rsidRPr="0044571B">
        <w:rPr>
          <w:color w:val="000000"/>
        </w:rPr>
        <w:t> Kijelölt tanúsító intézet által kiadott megfelelőségi tanúsítvány, amely igazolja, hogy a játék a típusvizsgálati tanúsítvány szerinti típusmintának és a jogszabályban leírt biztonsági követelményeknek megfelel,</w:t>
      </w:r>
    </w:p>
    <w:p w:rsidR="0044571B" w:rsidRPr="0044571B" w:rsidRDefault="0044571B" w:rsidP="0044571B">
      <w:pPr>
        <w:numPr>
          <w:ilvl w:val="0"/>
          <w:numId w:val="5"/>
        </w:numPr>
        <w:spacing w:before="100" w:beforeAutospacing="1" w:after="100" w:afterAutospacing="1" w:line="360" w:lineRule="auto"/>
        <w:ind w:left="1440"/>
        <w:jc w:val="both"/>
      </w:pPr>
      <w:r w:rsidRPr="0044571B">
        <w:rPr>
          <w:color w:val="000000"/>
        </w:rPr>
        <w:t>Kijelölt tanúsító intézet által kiadott típusvizsgálati tanúsítvány,</w:t>
      </w:r>
    </w:p>
    <w:p w:rsidR="0044571B" w:rsidRPr="0044571B" w:rsidRDefault="0044571B" w:rsidP="0044571B">
      <w:pPr>
        <w:numPr>
          <w:ilvl w:val="0"/>
          <w:numId w:val="5"/>
        </w:numPr>
        <w:spacing w:before="100" w:beforeAutospacing="1" w:after="100" w:afterAutospacing="1" w:line="360" w:lineRule="auto"/>
        <w:ind w:left="1440"/>
        <w:jc w:val="both"/>
      </w:pPr>
      <w:r w:rsidRPr="0044571B">
        <w:rPr>
          <w:color w:val="000000"/>
        </w:rPr>
        <w:t> Vizsgálati jegyzőkönyvek,</w:t>
      </w:r>
    </w:p>
    <w:p w:rsidR="0044571B" w:rsidRPr="0044571B" w:rsidRDefault="0044571B" w:rsidP="0044571B">
      <w:pPr>
        <w:numPr>
          <w:ilvl w:val="0"/>
          <w:numId w:val="5"/>
        </w:numPr>
        <w:spacing w:before="100" w:beforeAutospacing="1" w:after="100" w:afterAutospacing="1" w:line="360" w:lineRule="auto"/>
        <w:ind w:left="1440"/>
        <w:jc w:val="both"/>
      </w:pPr>
      <w:r w:rsidRPr="0044571B">
        <w:rPr>
          <w:color w:val="000000"/>
        </w:rPr>
        <w:t> A kijelölt tanúsító és vizsgáló intézetnek benyújtott dokumentumok másolata,</w:t>
      </w:r>
    </w:p>
    <w:p w:rsidR="0044571B" w:rsidRPr="0044571B" w:rsidRDefault="0044571B" w:rsidP="0044571B">
      <w:pPr>
        <w:spacing w:before="120" w:line="360" w:lineRule="auto"/>
        <w:jc w:val="both"/>
      </w:pPr>
      <w:r w:rsidRPr="0044571B">
        <w:t xml:space="preserve">Jelen időszakban a játékok teljes körére vonatkozóan a KERMI Kft. és a TÜV </w:t>
      </w:r>
      <w:proofErr w:type="spellStart"/>
      <w:r w:rsidRPr="0044571B">
        <w:t>Rheinland</w:t>
      </w:r>
      <w:proofErr w:type="spellEnd"/>
      <w:r w:rsidRPr="0044571B">
        <w:rPr>
          <w:position w:val="-4"/>
        </w:rPr>
        <w:t xml:space="preserve"> Hungária Kft., a villamos játékok esetén a MEEI Kft. a kijelölt tanúsító intézetek.</w:t>
      </w:r>
    </w:p>
    <w:p w:rsidR="0044571B" w:rsidRPr="0044571B" w:rsidRDefault="0044571B" w:rsidP="0044571B">
      <w:pPr>
        <w:spacing w:before="240"/>
      </w:pPr>
      <w:proofErr w:type="gramStart"/>
      <w:r w:rsidRPr="0044571B">
        <w:rPr>
          <w:position w:val="-4"/>
          <w:lang w:val="en-GB"/>
        </w:rPr>
        <w:t xml:space="preserve">A </w:t>
      </w:r>
      <w:proofErr w:type="spellStart"/>
      <w:r w:rsidRPr="0044571B">
        <w:rPr>
          <w:position w:val="-4"/>
          <w:lang w:val="en-GB"/>
        </w:rPr>
        <w:t>játékoknak</w:t>
      </w:r>
      <w:proofErr w:type="spellEnd"/>
      <w:r w:rsidRPr="0044571B">
        <w:rPr>
          <w:position w:val="-4"/>
          <w:lang w:val="en-GB"/>
        </w:rPr>
        <w:t xml:space="preserve"> </w:t>
      </w:r>
      <w:proofErr w:type="spellStart"/>
      <w:r w:rsidRPr="0044571B">
        <w:rPr>
          <w:position w:val="-4"/>
          <w:lang w:val="en-GB"/>
        </w:rPr>
        <w:t>olyan</w:t>
      </w:r>
      <w:proofErr w:type="spellEnd"/>
      <w:r w:rsidRPr="0044571B">
        <w:rPr>
          <w:position w:val="-4"/>
          <w:lang w:val="en-GB"/>
        </w:rPr>
        <w:t xml:space="preserve"> </w:t>
      </w:r>
      <w:proofErr w:type="spellStart"/>
      <w:r w:rsidRPr="0044571B">
        <w:rPr>
          <w:position w:val="-4"/>
          <w:lang w:val="en-GB"/>
        </w:rPr>
        <w:t>tulajdonságokkal</w:t>
      </w:r>
      <w:proofErr w:type="spellEnd"/>
      <w:r w:rsidRPr="0044571B">
        <w:rPr>
          <w:position w:val="-4"/>
          <w:lang w:val="en-GB"/>
        </w:rPr>
        <w:t xml:space="preserve"> </w:t>
      </w:r>
      <w:proofErr w:type="spellStart"/>
      <w:r w:rsidRPr="0044571B">
        <w:rPr>
          <w:position w:val="-4"/>
          <w:lang w:val="en-GB"/>
        </w:rPr>
        <w:t>kell</w:t>
      </w:r>
      <w:proofErr w:type="spellEnd"/>
      <w:r w:rsidRPr="0044571B">
        <w:rPr>
          <w:position w:val="-4"/>
          <w:lang w:val="en-GB"/>
        </w:rPr>
        <w:t xml:space="preserve"> </w:t>
      </w:r>
      <w:proofErr w:type="spellStart"/>
      <w:r w:rsidRPr="0044571B">
        <w:rPr>
          <w:position w:val="-4"/>
          <w:lang w:val="en-GB"/>
        </w:rPr>
        <w:t>rendelkezniük</w:t>
      </w:r>
      <w:proofErr w:type="spellEnd"/>
      <w:r w:rsidRPr="0044571B">
        <w:rPr>
          <w:position w:val="-4"/>
          <w:lang w:val="en-GB"/>
        </w:rPr>
        <w:t xml:space="preserve">, </w:t>
      </w:r>
      <w:proofErr w:type="spellStart"/>
      <w:r w:rsidRPr="0044571B">
        <w:rPr>
          <w:position w:val="-4"/>
          <w:lang w:val="en-GB"/>
        </w:rPr>
        <w:t>hogy</w:t>
      </w:r>
      <w:proofErr w:type="spellEnd"/>
      <w:r w:rsidRPr="0044571B">
        <w:rPr>
          <w:position w:val="-4"/>
          <w:lang w:val="en-GB"/>
        </w:rPr>
        <w:t xml:space="preserve"> a </w:t>
      </w:r>
      <w:proofErr w:type="spellStart"/>
      <w:r w:rsidRPr="0044571B">
        <w:rPr>
          <w:position w:val="-4"/>
          <w:lang w:val="en-GB"/>
        </w:rPr>
        <w:t>játék</w:t>
      </w:r>
      <w:proofErr w:type="spellEnd"/>
      <w:r w:rsidRPr="0044571B">
        <w:rPr>
          <w:position w:val="-4"/>
          <w:lang w:val="en-GB"/>
        </w:rPr>
        <w:t xml:space="preserve"> </w:t>
      </w:r>
      <w:proofErr w:type="spellStart"/>
      <w:r w:rsidRPr="0044571B">
        <w:rPr>
          <w:position w:val="-4"/>
          <w:lang w:val="en-GB"/>
        </w:rPr>
        <w:t>használatában</w:t>
      </w:r>
      <w:proofErr w:type="spellEnd"/>
      <w:r w:rsidRPr="0044571B">
        <w:rPr>
          <w:position w:val="-4"/>
          <w:lang w:val="en-GB"/>
        </w:rPr>
        <w:t xml:space="preserve"> </w:t>
      </w:r>
      <w:proofErr w:type="spellStart"/>
      <w:r w:rsidRPr="0044571B">
        <w:rPr>
          <w:position w:val="-4"/>
          <w:lang w:val="en-GB"/>
        </w:rPr>
        <w:t>rejlő</w:t>
      </w:r>
      <w:proofErr w:type="spellEnd"/>
      <w:r w:rsidRPr="0044571B">
        <w:rPr>
          <w:position w:val="-4"/>
          <w:lang w:val="en-GB"/>
        </w:rPr>
        <w:t xml:space="preserve"> </w:t>
      </w:r>
      <w:proofErr w:type="spellStart"/>
      <w:r w:rsidRPr="0044571B">
        <w:rPr>
          <w:position w:val="-4"/>
          <w:lang w:val="en-GB"/>
        </w:rPr>
        <w:t>veszélyeken</w:t>
      </w:r>
      <w:proofErr w:type="spellEnd"/>
      <w:r w:rsidRPr="0044571B">
        <w:rPr>
          <w:position w:val="-4"/>
          <w:lang w:val="en-GB"/>
        </w:rPr>
        <w:t xml:space="preserve"> </w:t>
      </w:r>
      <w:proofErr w:type="spellStart"/>
      <w:r w:rsidRPr="0044571B">
        <w:rPr>
          <w:position w:val="-4"/>
          <w:lang w:val="en-GB"/>
        </w:rPr>
        <w:t>túl</w:t>
      </w:r>
      <w:proofErr w:type="spellEnd"/>
      <w:r w:rsidRPr="0044571B">
        <w:rPr>
          <w:position w:val="-4"/>
          <w:lang w:val="en-GB"/>
        </w:rPr>
        <w:t xml:space="preserve"> a </w:t>
      </w:r>
      <w:proofErr w:type="spellStart"/>
      <w:r w:rsidRPr="0044571B">
        <w:rPr>
          <w:position w:val="-4"/>
          <w:lang w:val="en-GB"/>
        </w:rPr>
        <w:t>használat</w:t>
      </w:r>
      <w:proofErr w:type="spellEnd"/>
      <w:r w:rsidRPr="0044571B">
        <w:rPr>
          <w:position w:val="-4"/>
          <w:lang w:val="en-GB"/>
        </w:rPr>
        <w:t xml:space="preserve"> </w:t>
      </w:r>
      <w:proofErr w:type="spellStart"/>
      <w:r w:rsidRPr="0044571B">
        <w:rPr>
          <w:position w:val="-4"/>
          <w:lang w:val="en-GB"/>
        </w:rPr>
        <w:t>során</w:t>
      </w:r>
      <w:proofErr w:type="spellEnd"/>
      <w:r w:rsidRPr="0044571B">
        <w:rPr>
          <w:position w:val="-4"/>
          <w:lang w:val="en-GB"/>
        </w:rPr>
        <w:t xml:space="preserve"> </w:t>
      </w:r>
      <w:proofErr w:type="spellStart"/>
      <w:r w:rsidRPr="0044571B">
        <w:rPr>
          <w:position w:val="-4"/>
          <w:lang w:val="en-GB"/>
        </w:rPr>
        <w:t>további</w:t>
      </w:r>
      <w:proofErr w:type="spellEnd"/>
      <w:r w:rsidRPr="0044571B">
        <w:rPr>
          <w:position w:val="-4"/>
          <w:lang w:val="en-GB"/>
        </w:rPr>
        <w:t xml:space="preserve"> </w:t>
      </w:r>
      <w:proofErr w:type="spellStart"/>
      <w:r w:rsidRPr="0044571B">
        <w:rPr>
          <w:position w:val="-4"/>
          <w:lang w:val="en-GB"/>
        </w:rPr>
        <w:t>balesetveszélyt</w:t>
      </w:r>
      <w:proofErr w:type="spellEnd"/>
      <w:r w:rsidRPr="0044571B">
        <w:rPr>
          <w:position w:val="-4"/>
          <w:lang w:val="en-GB"/>
        </w:rPr>
        <w:t xml:space="preserve"> </w:t>
      </w:r>
      <w:proofErr w:type="spellStart"/>
      <w:r w:rsidRPr="0044571B">
        <w:rPr>
          <w:position w:val="-4"/>
          <w:lang w:val="en-GB"/>
        </w:rPr>
        <w:t>nem</w:t>
      </w:r>
      <w:proofErr w:type="spellEnd"/>
      <w:r w:rsidRPr="0044571B">
        <w:rPr>
          <w:position w:val="-4"/>
          <w:lang w:val="en-GB"/>
        </w:rPr>
        <w:t xml:space="preserve"> </w:t>
      </w:r>
      <w:proofErr w:type="spellStart"/>
      <w:r w:rsidRPr="0044571B">
        <w:rPr>
          <w:position w:val="-4"/>
          <w:lang w:val="en-GB"/>
        </w:rPr>
        <w:t>jelenthetnek</w:t>
      </w:r>
      <w:proofErr w:type="spellEnd"/>
      <w:r w:rsidRPr="0044571B">
        <w:rPr>
          <w:position w:val="-4"/>
          <w:lang w:val="en-GB"/>
        </w:rPr>
        <w:t xml:space="preserve"> </w:t>
      </w:r>
      <w:proofErr w:type="spellStart"/>
      <w:r w:rsidRPr="0044571B">
        <w:rPr>
          <w:position w:val="-4"/>
          <w:lang w:val="en-GB"/>
        </w:rPr>
        <w:t>azoknak</w:t>
      </w:r>
      <w:proofErr w:type="spellEnd"/>
      <w:r w:rsidRPr="0044571B">
        <w:rPr>
          <w:position w:val="-4"/>
          <w:lang w:val="en-GB"/>
        </w:rPr>
        <w:t xml:space="preserve"> a </w:t>
      </w:r>
      <w:proofErr w:type="spellStart"/>
      <w:r w:rsidRPr="0044571B">
        <w:rPr>
          <w:position w:val="-4"/>
          <w:lang w:val="en-GB"/>
        </w:rPr>
        <w:t>gyermeknek</w:t>
      </w:r>
      <w:proofErr w:type="spellEnd"/>
      <w:r w:rsidRPr="0044571B">
        <w:rPr>
          <w:position w:val="-4"/>
          <w:lang w:val="en-GB"/>
        </w:rPr>
        <w:t xml:space="preserve">, </w:t>
      </w:r>
      <w:proofErr w:type="spellStart"/>
      <w:r w:rsidRPr="0044571B">
        <w:rPr>
          <w:position w:val="-4"/>
          <w:lang w:val="en-GB"/>
        </w:rPr>
        <w:t>akiknek</w:t>
      </w:r>
      <w:proofErr w:type="spellEnd"/>
      <w:r w:rsidRPr="0044571B">
        <w:rPr>
          <w:position w:val="-4"/>
          <w:lang w:val="en-GB"/>
        </w:rPr>
        <w:t xml:space="preserve"> </w:t>
      </w:r>
      <w:proofErr w:type="spellStart"/>
      <w:r w:rsidRPr="0044571B">
        <w:rPr>
          <w:position w:val="-4"/>
          <w:lang w:val="en-GB"/>
        </w:rPr>
        <w:t>azokat</w:t>
      </w:r>
      <w:proofErr w:type="spellEnd"/>
      <w:r w:rsidRPr="0044571B">
        <w:rPr>
          <w:position w:val="-4"/>
          <w:lang w:val="en-GB"/>
        </w:rPr>
        <w:t xml:space="preserve"> </w:t>
      </w:r>
      <w:proofErr w:type="spellStart"/>
      <w:r w:rsidRPr="0044571B">
        <w:rPr>
          <w:position w:val="-4"/>
          <w:lang w:val="en-GB"/>
        </w:rPr>
        <w:t>szánták</w:t>
      </w:r>
      <w:proofErr w:type="spellEnd"/>
      <w:r w:rsidRPr="0044571B">
        <w:rPr>
          <w:position w:val="-4"/>
          <w:lang w:val="en-GB"/>
        </w:rPr>
        <w:t>.</w:t>
      </w:r>
      <w:proofErr w:type="gramEnd"/>
      <w:r w:rsidRPr="0044571B">
        <w:rPr>
          <w:position w:val="-4"/>
          <w:lang w:val="en-GB"/>
        </w:rPr>
        <w:t xml:space="preserve"> </w:t>
      </w:r>
      <w:proofErr w:type="spellStart"/>
      <w:r w:rsidRPr="0044571B">
        <w:rPr>
          <w:position w:val="-4"/>
          <w:lang w:val="en-GB"/>
        </w:rPr>
        <w:t>Néhány</w:t>
      </w:r>
      <w:proofErr w:type="spellEnd"/>
      <w:r w:rsidRPr="0044571B">
        <w:rPr>
          <w:position w:val="-4"/>
          <w:lang w:val="en-GB"/>
        </w:rPr>
        <w:t xml:space="preserve"> </w:t>
      </w:r>
      <w:proofErr w:type="spellStart"/>
      <w:r w:rsidRPr="0044571B">
        <w:rPr>
          <w:position w:val="-4"/>
          <w:lang w:val="en-GB"/>
        </w:rPr>
        <w:t>követelményt</w:t>
      </w:r>
      <w:proofErr w:type="spellEnd"/>
      <w:r w:rsidRPr="0044571B">
        <w:rPr>
          <w:position w:val="-4"/>
          <w:lang w:val="en-GB"/>
        </w:rPr>
        <w:t xml:space="preserve"> </w:t>
      </w:r>
      <w:proofErr w:type="spellStart"/>
      <w:proofErr w:type="gramStart"/>
      <w:r w:rsidRPr="0044571B">
        <w:rPr>
          <w:position w:val="-4"/>
          <w:lang w:val="en-GB"/>
        </w:rPr>
        <w:t>az</w:t>
      </w:r>
      <w:proofErr w:type="spellEnd"/>
      <w:proofErr w:type="gramEnd"/>
      <w:r w:rsidRPr="0044571B">
        <w:rPr>
          <w:position w:val="-4"/>
          <w:lang w:val="en-GB"/>
        </w:rPr>
        <w:t xml:space="preserve"> </w:t>
      </w:r>
      <w:proofErr w:type="spellStart"/>
      <w:r w:rsidRPr="0044571B">
        <w:rPr>
          <w:position w:val="-4"/>
          <w:lang w:val="en-GB"/>
        </w:rPr>
        <w:t>alábbi</w:t>
      </w:r>
      <w:proofErr w:type="spellEnd"/>
      <w:r w:rsidRPr="0044571B">
        <w:rPr>
          <w:position w:val="-4"/>
          <w:lang w:val="en-GB"/>
        </w:rPr>
        <w:t xml:space="preserve"> </w:t>
      </w:r>
      <w:proofErr w:type="spellStart"/>
      <w:r w:rsidRPr="0044571B">
        <w:rPr>
          <w:position w:val="-4"/>
          <w:lang w:val="en-GB"/>
        </w:rPr>
        <w:t>felsorolás</w:t>
      </w:r>
      <w:proofErr w:type="spellEnd"/>
      <w:r w:rsidRPr="0044571B">
        <w:rPr>
          <w:position w:val="-4"/>
          <w:lang w:val="en-GB"/>
        </w:rPr>
        <w:t xml:space="preserve"> </w:t>
      </w:r>
      <w:proofErr w:type="spellStart"/>
      <w:r w:rsidRPr="0044571B">
        <w:rPr>
          <w:position w:val="-4"/>
          <w:lang w:val="en-GB"/>
        </w:rPr>
        <w:t>tartalmaz</w:t>
      </w:r>
      <w:proofErr w:type="spellEnd"/>
      <w:r w:rsidRPr="0044571B">
        <w:rPr>
          <w:position w:val="-4"/>
          <w:lang w:val="en-GB"/>
        </w:rPr>
        <w:t>:</w:t>
      </w:r>
    </w:p>
    <w:p w:rsidR="0044571B" w:rsidRPr="0044571B" w:rsidRDefault="0044571B" w:rsidP="0044571B">
      <w:pPr>
        <w:numPr>
          <w:ilvl w:val="0"/>
          <w:numId w:val="6"/>
        </w:numPr>
        <w:spacing w:before="100" w:beforeAutospacing="1" w:after="100" w:afterAutospacing="1"/>
        <w:ind w:left="1440"/>
      </w:pPr>
      <w:r w:rsidRPr="0044571B">
        <w:rPr>
          <w:lang w:val="en-GB"/>
        </w:rPr>
        <w:t xml:space="preserve"> A </w:t>
      </w:r>
      <w:proofErr w:type="spellStart"/>
      <w:r w:rsidRPr="0044571B">
        <w:rPr>
          <w:lang w:val="en-GB"/>
        </w:rPr>
        <w:t>játékokhoz</w:t>
      </w:r>
      <w:proofErr w:type="spellEnd"/>
      <w:r w:rsidRPr="0044571B">
        <w:rPr>
          <w:lang w:val="en-GB"/>
        </w:rPr>
        <w:t xml:space="preserve"> </w:t>
      </w:r>
      <w:proofErr w:type="spellStart"/>
      <w:r w:rsidRPr="0044571B">
        <w:rPr>
          <w:lang w:val="en-GB"/>
        </w:rPr>
        <w:t>felhasznált</w:t>
      </w:r>
      <w:proofErr w:type="spellEnd"/>
      <w:r w:rsidRPr="0044571B">
        <w:rPr>
          <w:lang w:val="en-GB"/>
        </w:rPr>
        <w:t xml:space="preserve"> </w:t>
      </w:r>
      <w:proofErr w:type="spellStart"/>
      <w:r w:rsidRPr="0044571B">
        <w:rPr>
          <w:lang w:val="en-GB"/>
        </w:rPr>
        <w:t>anyagok</w:t>
      </w:r>
      <w:proofErr w:type="spellEnd"/>
      <w:r w:rsidRPr="0044571B">
        <w:rPr>
          <w:lang w:val="en-GB"/>
        </w:rPr>
        <w:t xml:space="preserve"> </w:t>
      </w:r>
      <w:proofErr w:type="spellStart"/>
      <w:r w:rsidRPr="0044571B">
        <w:rPr>
          <w:lang w:val="en-GB"/>
        </w:rPr>
        <w:t>tiszták</w:t>
      </w:r>
      <w:proofErr w:type="spellEnd"/>
      <w:r w:rsidRPr="0044571B">
        <w:rPr>
          <w:lang w:val="en-GB"/>
        </w:rPr>
        <w:t xml:space="preserve">, </w:t>
      </w:r>
      <w:proofErr w:type="spellStart"/>
      <w:r w:rsidRPr="0044571B">
        <w:rPr>
          <w:lang w:val="en-GB"/>
        </w:rPr>
        <w:t>fertőző</w:t>
      </w:r>
      <w:proofErr w:type="spellEnd"/>
      <w:r w:rsidRPr="0044571B">
        <w:rPr>
          <w:lang w:val="en-GB"/>
        </w:rPr>
        <w:t xml:space="preserve"> </w:t>
      </w:r>
      <w:proofErr w:type="spellStart"/>
      <w:r w:rsidRPr="0044571B">
        <w:rPr>
          <w:lang w:val="en-GB"/>
        </w:rPr>
        <w:t>rovarszennyeződéstől</w:t>
      </w:r>
      <w:proofErr w:type="spellEnd"/>
      <w:r w:rsidRPr="0044571B">
        <w:rPr>
          <w:lang w:val="en-GB"/>
        </w:rPr>
        <w:t xml:space="preserve">, </w:t>
      </w:r>
      <w:proofErr w:type="spellStart"/>
      <w:r w:rsidRPr="0044571B">
        <w:rPr>
          <w:lang w:val="en-GB"/>
        </w:rPr>
        <w:t>kórokozóktól</w:t>
      </w:r>
      <w:proofErr w:type="spellEnd"/>
      <w:r w:rsidRPr="0044571B">
        <w:rPr>
          <w:lang w:val="en-GB"/>
        </w:rPr>
        <w:t xml:space="preserve"> </w:t>
      </w:r>
      <w:proofErr w:type="spellStart"/>
      <w:r w:rsidRPr="0044571B">
        <w:rPr>
          <w:lang w:val="en-GB"/>
        </w:rPr>
        <w:t>mentesek</w:t>
      </w:r>
      <w:proofErr w:type="spellEnd"/>
      <w:r w:rsidRPr="0044571B">
        <w:rPr>
          <w:lang w:val="en-GB"/>
        </w:rPr>
        <w:t xml:space="preserve"> </w:t>
      </w:r>
      <w:proofErr w:type="spellStart"/>
      <w:r w:rsidRPr="0044571B">
        <w:rPr>
          <w:lang w:val="en-GB"/>
        </w:rPr>
        <w:t>legyenek</w:t>
      </w:r>
      <w:proofErr w:type="spellEnd"/>
      <w:r w:rsidRPr="0044571B">
        <w:rPr>
          <w:lang w:val="en-GB"/>
        </w:rPr>
        <w:t>.</w:t>
      </w:r>
    </w:p>
    <w:p w:rsidR="0044571B" w:rsidRPr="0044571B" w:rsidRDefault="0044571B" w:rsidP="0044571B">
      <w:pPr>
        <w:numPr>
          <w:ilvl w:val="0"/>
          <w:numId w:val="6"/>
        </w:numPr>
        <w:spacing w:before="100" w:beforeAutospacing="1" w:after="100" w:afterAutospacing="1"/>
        <w:ind w:left="1440"/>
      </w:pPr>
      <w:proofErr w:type="spellStart"/>
      <w:proofErr w:type="gramStart"/>
      <w:r w:rsidRPr="0044571B">
        <w:rPr>
          <w:lang w:val="en-GB"/>
        </w:rPr>
        <w:t>Az</w:t>
      </w:r>
      <w:proofErr w:type="spellEnd"/>
      <w:proofErr w:type="gramEnd"/>
      <w:r w:rsidRPr="0044571B">
        <w:rPr>
          <w:lang w:val="en-GB"/>
        </w:rPr>
        <w:t xml:space="preserve"> </w:t>
      </w:r>
      <w:proofErr w:type="spellStart"/>
      <w:r w:rsidRPr="0044571B">
        <w:rPr>
          <w:lang w:val="en-GB"/>
        </w:rPr>
        <w:t>át</w:t>
      </w:r>
      <w:proofErr w:type="spellEnd"/>
      <w:r w:rsidRPr="0044571B">
        <w:rPr>
          <w:lang w:val="en-GB"/>
        </w:rPr>
        <w:t xml:space="preserve"> </w:t>
      </w:r>
      <w:proofErr w:type="spellStart"/>
      <w:r w:rsidRPr="0044571B">
        <w:rPr>
          <w:lang w:val="en-GB"/>
        </w:rPr>
        <w:t>nem</w:t>
      </w:r>
      <w:proofErr w:type="spellEnd"/>
      <w:r w:rsidRPr="0044571B">
        <w:rPr>
          <w:lang w:val="en-GB"/>
        </w:rPr>
        <w:t xml:space="preserve"> </w:t>
      </w:r>
      <w:proofErr w:type="spellStart"/>
      <w:r w:rsidRPr="0044571B">
        <w:rPr>
          <w:lang w:val="en-GB"/>
        </w:rPr>
        <w:t>eresztő</w:t>
      </w:r>
      <w:proofErr w:type="spellEnd"/>
      <w:r w:rsidRPr="0044571B">
        <w:rPr>
          <w:lang w:val="en-GB"/>
        </w:rPr>
        <w:t xml:space="preserve"> </w:t>
      </w:r>
      <w:proofErr w:type="spellStart"/>
      <w:r w:rsidRPr="0044571B">
        <w:rPr>
          <w:lang w:val="en-GB"/>
        </w:rPr>
        <w:t>anyagból</w:t>
      </w:r>
      <w:proofErr w:type="spellEnd"/>
      <w:r w:rsidRPr="0044571B">
        <w:rPr>
          <w:lang w:val="en-GB"/>
        </w:rPr>
        <w:t xml:space="preserve"> </w:t>
      </w:r>
      <w:proofErr w:type="spellStart"/>
      <w:r w:rsidRPr="0044571B">
        <w:rPr>
          <w:lang w:val="en-GB"/>
        </w:rPr>
        <w:t>készült</w:t>
      </w:r>
      <w:proofErr w:type="spellEnd"/>
      <w:r w:rsidRPr="0044571B">
        <w:rPr>
          <w:lang w:val="en-GB"/>
        </w:rPr>
        <w:t>, 380 mm-</w:t>
      </w:r>
      <w:proofErr w:type="spellStart"/>
      <w:r w:rsidRPr="0044571B">
        <w:rPr>
          <w:lang w:val="en-GB"/>
        </w:rPr>
        <w:t>nél</w:t>
      </w:r>
      <w:proofErr w:type="spellEnd"/>
      <w:r w:rsidRPr="0044571B">
        <w:rPr>
          <w:lang w:val="en-GB"/>
        </w:rPr>
        <w:t xml:space="preserve"> </w:t>
      </w:r>
      <w:proofErr w:type="spellStart"/>
      <w:r w:rsidRPr="0044571B">
        <w:rPr>
          <w:lang w:val="en-GB"/>
        </w:rPr>
        <w:t>nagyobb</w:t>
      </w:r>
      <w:proofErr w:type="spellEnd"/>
      <w:r w:rsidRPr="0044571B">
        <w:rPr>
          <w:lang w:val="en-GB"/>
        </w:rPr>
        <w:t xml:space="preserve"> </w:t>
      </w:r>
      <w:proofErr w:type="spellStart"/>
      <w:r w:rsidRPr="0044571B">
        <w:rPr>
          <w:lang w:val="en-GB"/>
        </w:rPr>
        <w:t>nyíláskerületi</w:t>
      </w:r>
      <w:proofErr w:type="spellEnd"/>
      <w:r w:rsidRPr="0044571B">
        <w:rPr>
          <w:lang w:val="en-GB"/>
        </w:rPr>
        <w:t xml:space="preserve"> </w:t>
      </w:r>
      <w:proofErr w:type="spellStart"/>
      <w:r w:rsidRPr="0044571B">
        <w:rPr>
          <w:lang w:val="en-GB"/>
        </w:rPr>
        <w:t>játéktasakok</w:t>
      </w:r>
      <w:proofErr w:type="spellEnd"/>
      <w:r w:rsidRPr="0044571B">
        <w:rPr>
          <w:lang w:val="en-GB"/>
        </w:rPr>
        <w:t xml:space="preserve"> </w:t>
      </w:r>
      <w:proofErr w:type="spellStart"/>
      <w:r w:rsidRPr="0044571B">
        <w:rPr>
          <w:lang w:val="en-GB"/>
        </w:rPr>
        <w:t>zárására</w:t>
      </w:r>
      <w:proofErr w:type="spellEnd"/>
      <w:r w:rsidRPr="0044571B">
        <w:rPr>
          <w:lang w:val="en-GB"/>
        </w:rPr>
        <w:t xml:space="preserve"> </w:t>
      </w:r>
      <w:proofErr w:type="spellStart"/>
      <w:r w:rsidRPr="0044571B">
        <w:rPr>
          <w:lang w:val="en-GB"/>
        </w:rPr>
        <w:t>kötőszalag</w:t>
      </w:r>
      <w:proofErr w:type="spellEnd"/>
      <w:r w:rsidRPr="0044571B">
        <w:rPr>
          <w:lang w:val="en-GB"/>
        </w:rPr>
        <w:t xml:space="preserve"> </w:t>
      </w:r>
      <w:proofErr w:type="spellStart"/>
      <w:r w:rsidRPr="0044571B">
        <w:rPr>
          <w:lang w:val="en-GB"/>
        </w:rPr>
        <w:t>vagy</w:t>
      </w:r>
      <w:proofErr w:type="spellEnd"/>
      <w:r w:rsidRPr="0044571B">
        <w:rPr>
          <w:lang w:val="en-GB"/>
        </w:rPr>
        <w:t xml:space="preserve"> </w:t>
      </w:r>
      <w:proofErr w:type="spellStart"/>
      <w:r w:rsidRPr="0044571B">
        <w:rPr>
          <w:lang w:val="en-GB"/>
        </w:rPr>
        <w:t>zsinór</w:t>
      </w:r>
      <w:proofErr w:type="spellEnd"/>
      <w:r w:rsidRPr="0044571B">
        <w:rPr>
          <w:lang w:val="en-GB"/>
        </w:rPr>
        <w:t xml:space="preserve"> </w:t>
      </w:r>
      <w:proofErr w:type="spellStart"/>
      <w:r w:rsidRPr="0044571B">
        <w:rPr>
          <w:lang w:val="en-GB"/>
        </w:rPr>
        <w:t>nem</w:t>
      </w:r>
      <w:proofErr w:type="spellEnd"/>
      <w:r w:rsidRPr="0044571B">
        <w:rPr>
          <w:lang w:val="en-GB"/>
        </w:rPr>
        <w:t xml:space="preserve"> </w:t>
      </w:r>
      <w:proofErr w:type="spellStart"/>
      <w:r w:rsidRPr="0044571B">
        <w:rPr>
          <w:lang w:val="en-GB"/>
        </w:rPr>
        <w:t>használható</w:t>
      </w:r>
      <w:proofErr w:type="spellEnd"/>
      <w:r w:rsidRPr="0044571B">
        <w:rPr>
          <w:lang w:val="en-GB"/>
        </w:rPr>
        <w:t>.</w:t>
      </w:r>
    </w:p>
    <w:p w:rsidR="0044571B" w:rsidRPr="0044571B" w:rsidRDefault="0044571B" w:rsidP="0044571B">
      <w:pPr>
        <w:numPr>
          <w:ilvl w:val="0"/>
          <w:numId w:val="6"/>
        </w:numPr>
        <w:spacing w:before="100" w:beforeAutospacing="1" w:after="100" w:afterAutospacing="1"/>
        <w:ind w:left="1440"/>
      </w:pPr>
      <w:r w:rsidRPr="0044571B">
        <w:t xml:space="preserve">A játékoknak éles élei, hegyes végződései, </w:t>
      </w:r>
      <w:proofErr w:type="spellStart"/>
      <w:r w:rsidRPr="0044571B">
        <w:t>sorjái</w:t>
      </w:r>
      <w:proofErr w:type="spellEnd"/>
      <w:r w:rsidRPr="0044571B">
        <w:t xml:space="preserve"> ne legyenek. A hajlékony polimer </w:t>
      </w:r>
      <w:proofErr w:type="gramStart"/>
      <w:r w:rsidRPr="0044571B">
        <w:t>anyagok  /</w:t>
      </w:r>
      <w:proofErr w:type="gramEnd"/>
      <w:r w:rsidRPr="0044571B">
        <w:t xml:space="preserve"> pl. </w:t>
      </w:r>
      <w:proofErr w:type="spellStart"/>
      <w:r w:rsidRPr="0044571B">
        <w:t>poliolefinek</w:t>
      </w:r>
      <w:proofErr w:type="spellEnd"/>
      <w:r w:rsidRPr="0044571B">
        <w:t xml:space="preserve"> / fröccsöntési </w:t>
      </w:r>
      <w:proofErr w:type="spellStart"/>
      <w:r w:rsidRPr="0044571B">
        <w:t>sorjái</w:t>
      </w:r>
      <w:proofErr w:type="spellEnd"/>
      <w:r w:rsidRPr="0044571B">
        <w:t xml:space="preserve"> nem tekinthetők </w:t>
      </w:r>
      <w:proofErr w:type="spellStart"/>
      <w:r w:rsidRPr="0044571B">
        <w:t>sorjának</w:t>
      </w:r>
      <w:proofErr w:type="spellEnd"/>
      <w:r w:rsidRPr="0044571B">
        <w:t>.</w:t>
      </w:r>
    </w:p>
    <w:p w:rsidR="0044571B" w:rsidRPr="0044571B" w:rsidRDefault="0044571B" w:rsidP="0044571B">
      <w:pPr>
        <w:numPr>
          <w:ilvl w:val="0"/>
          <w:numId w:val="6"/>
        </w:numPr>
        <w:spacing w:before="100" w:beforeAutospacing="1" w:after="100" w:afterAutospacing="1"/>
        <w:ind w:left="1440"/>
      </w:pPr>
      <w:r w:rsidRPr="0044571B">
        <w:t>A játék merev alkatrészeit / pl. játékautó tengelye / védeni kell, a védelem meghatározott terhelés hatására nem válhat le.</w:t>
      </w:r>
    </w:p>
    <w:p w:rsidR="0044571B" w:rsidRPr="0044571B" w:rsidRDefault="0044571B" w:rsidP="0044571B">
      <w:pPr>
        <w:numPr>
          <w:ilvl w:val="0"/>
          <w:numId w:val="6"/>
        </w:numPr>
        <w:spacing w:before="100" w:beforeAutospacing="1" w:after="100" w:afterAutospacing="1"/>
        <w:ind w:left="1440"/>
      </w:pPr>
      <w:r w:rsidRPr="0044571B">
        <w:t>A játékokhoz nehézfém-ionokat tartalmazó színezéket nem szabad felhasználni.</w:t>
      </w:r>
    </w:p>
    <w:p w:rsidR="0044571B" w:rsidRPr="0044571B" w:rsidRDefault="0044571B" w:rsidP="0044571B">
      <w:pPr>
        <w:numPr>
          <w:ilvl w:val="0"/>
          <w:numId w:val="6"/>
        </w:numPr>
        <w:spacing w:before="100" w:beforeAutospacing="1" w:after="100" w:afterAutospacing="1"/>
        <w:ind w:left="1440"/>
      </w:pPr>
      <w:r w:rsidRPr="0044571B">
        <w:rPr>
          <w:position w:val="-4"/>
        </w:rPr>
        <w:t>  A játék nem tartalmazhat robbanásveszélyes, egészségkárosító és radioaktív anyagot.</w:t>
      </w:r>
    </w:p>
    <w:p w:rsidR="0044571B" w:rsidRPr="0044571B" w:rsidRDefault="0044571B" w:rsidP="0044571B">
      <w:pPr>
        <w:spacing w:before="240" w:after="120"/>
      </w:pPr>
      <w:r w:rsidRPr="0044571B">
        <w:rPr>
          <w:position w:val="-4"/>
        </w:rPr>
        <w:t>A szájjal működtetett játékokra, a hintákra, a lövedékes, a vízi, a gyermekek tömegét hordozó játékokra, stb. további specifikus előírások vonatkoznak.</w:t>
      </w:r>
    </w:p>
    <w:p w:rsidR="0044571B" w:rsidRPr="0044571B" w:rsidRDefault="0044571B" w:rsidP="0044571B">
      <w:r w:rsidRPr="0044571B">
        <w:t xml:space="preserve">A 36 hónapos kor alatti gyermekek számára szánt játékok nem lehetnek olyan </w:t>
      </w:r>
      <w:proofErr w:type="gramStart"/>
      <w:r w:rsidRPr="0044571B">
        <w:t>kis méretűek</w:t>
      </w:r>
      <w:proofErr w:type="gramEnd"/>
      <w:r w:rsidRPr="0044571B">
        <w:t xml:space="preserve">, vagy nem tartalmazhatnak olyan kis alkatrészeket, melyeket a csecsemő lenyelhet, vagy amelyek fulladást okozhatnak. A szájba vett játékból, vagy a lenyelt játékrészből kémiai anyag a </w:t>
      </w:r>
      <w:proofErr w:type="gramStart"/>
      <w:r w:rsidRPr="0044571B">
        <w:t>nyálba</w:t>
      </w:r>
      <w:proofErr w:type="gramEnd"/>
      <w:r w:rsidRPr="0044571B">
        <w:t xml:space="preserve"> ill. a gyomorsavba nem oldódhat ki olyan mennyiségben, amely a baba egészségére káros lehet. A 3 év alatti gyermekek számára nem ajánlott játékokat korcsoport jelöléssel kell ellátni és olyan felirattal, amely a balesetveszélyre és annak forrására felhívja a szülő figyelmét.</w:t>
      </w:r>
    </w:p>
    <w:p w:rsidR="0044571B" w:rsidRPr="0044571B" w:rsidRDefault="0044571B" w:rsidP="0044571B">
      <w:r w:rsidRPr="0044571B">
        <w:t>A balesetveszélyre való felhívás a 3 év feletti gyermekeknek tervezett játékoknál is kötelező abban az esetben, ha a játék használata kockázatot rejt magában.</w:t>
      </w:r>
    </w:p>
    <w:p w:rsidR="0044571B" w:rsidRPr="0044571B" w:rsidRDefault="0044571B" w:rsidP="0044571B">
      <w:pPr>
        <w:spacing w:before="240" w:after="240" w:line="360" w:lineRule="auto"/>
        <w:jc w:val="both"/>
      </w:pPr>
      <w:r w:rsidRPr="0044571B">
        <w:t>Játékok forgalmazásának jogszabályi háttere:</w:t>
      </w:r>
    </w:p>
    <w:p w:rsidR="0044571B" w:rsidRPr="0044571B" w:rsidRDefault="0044571B" w:rsidP="0044571B">
      <w:pPr>
        <w:spacing w:before="240" w:after="240" w:line="360" w:lineRule="auto"/>
        <w:jc w:val="both"/>
      </w:pPr>
      <w:r w:rsidRPr="0044571B">
        <w:t>Harmonizált jogszabályok:</w:t>
      </w:r>
    </w:p>
    <w:p w:rsidR="0044571B" w:rsidRPr="0044571B" w:rsidRDefault="0044571B" w:rsidP="0044571B">
      <w:pPr>
        <w:numPr>
          <w:ilvl w:val="0"/>
          <w:numId w:val="7"/>
        </w:numPr>
        <w:spacing w:before="100" w:beforeAutospacing="1" w:after="100" w:afterAutospacing="1" w:line="360" w:lineRule="auto"/>
        <w:ind w:left="1440"/>
        <w:jc w:val="both"/>
      </w:pPr>
      <w:r w:rsidRPr="0044571B">
        <w:rPr>
          <w:color w:val="000000"/>
        </w:rPr>
        <w:lastRenderedPageBreak/>
        <w:t>A fogyasztóvédelemről szóló 1997. évi CLV. törvény (92/59/EEC, 87/102/EEC),</w:t>
      </w:r>
    </w:p>
    <w:p w:rsidR="0044571B" w:rsidRPr="0044571B" w:rsidRDefault="0044571B" w:rsidP="0044571B">
      <w:pPr>
        <w:numPr>
          <w:ilvl w:val="0"/>
          <w:numId w:val="7"/>
        </w:numPr>
        <w:spacing w:before="100" w:beforeAutospacing="1" w:after="100" w:afterAutospacing="1" w:line="360" w:lineRule="auto"/>
        <w:ind w:left="1440"/>
        <w:jc w:val="both"/>
      </w:pPr>
      <w:r w:rsidRPr="0044571B">
        <w:rPr>
          <w:color w:val="000000"/>
        </w:rPr>
        <w:t>24/1998. (IV.29.) IKIM-NM rendelet a gyermekjátékszerek bizton-sági követelményeiről, vizsgálatáról és tanúsításáról (88/378/EEC, 93/68 EEC),</w:t>
      </w:r>
    </w:p>
    <w:p w:rsidR="0044571B" w:rsidRPr="0044571B" w:rsidRDefault="0044571B" w:rsidP="0044571B">
      <w:pPr>
        <w:numPr>
          <w:ilvl w:val="0"/>
          <w:numId w:val="7"/>
        </w:numPr>
        <w:spacing w:before="100" w:beforeAutospacing="1" w:after="100" w:afterAutospacing="1" w:line="360" w:lineRule="auto"/>
        <w:ind w:left="1440"/>
        <w:jc w:val="both"/>
      </w:pPr>
      <w:r w:rsidRPr="0044571B">
        <w:rPr>
          <w:color w:val="000000"/>
        </w:rPr>
        <w:t>14/2002. (III.28.) GM-EüM rendelet a három évesnél fiatalabb gyermekek számára, lágy PVC-ből készült gyermekjátékokban és gyermekápolási cikkekben alkalmazott egyes lágyítók korlátozásáról (1999/815 EC),</w:t>
      </w:r>
    </w:p>
    <w:p w:rsidR="0044571B" w:rsidRPr="0044571B" w:rsidRDefault="0044571B" w:rsidP="0044571B">
      <w:pPr>
        <w:numPr>
          <w:ilvl w:val="0"/>
          <w:numId w:val="7"/>
        </w:numPr>
        <w:spacing w:before="100" w:beforeAutospacing="1" w:after="100" w:afterAutospacing="1" w:line="360" w:lineRule="auto"/>
        <w:ind w:left="1440"/>
        <w:jc w:val="both"/>
      </w:pPr>
      <w:r w:rsidRPr="0044571B">
        <w:rPr>
          <w:color w:val="000000"/>
        </w:rPr>
        <w:t>79/1998. (IV.29.) Korm. rendelet az áruk és szolgáltatások biztonságosságáról és az ezzel kapcsolatos piacfelügyeleti eljárásról (92/59 EEC, 87/357 EEC, 2003. 01. 01-től 93/339 EEC, 2004. 01. 15-től 2001/95/EC).</w:t>
      </w:r>
    </w:p>
    <w:p w:rsidR="0044571B" w:rsidRPr="0044571B" w:rsidRDefault="0044571B" w:rsidP="0044571B">
      <w:pPr>
        <w:spacing w:before="240" w:after="240" w:line="360" w:lineRule="auto"/>
        <w:jc w:val="both"/>
      </w:pPr>
      <w:r w:rsidRPr="0044571B">
        <w:t>Nemzeti jogszabályok:</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  A szabálysértésekről szóló 1999. évi LXIX. törvény,</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 Az államigazgatási eljárás általános szabályairól szóló 1957. évi IV. törvény,</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Az egyes szabálysértésekről szóló 218/1999. (XII.28.) Korm. rendelet,</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 Az üzletek működéséről és a belkereskedelmi tevékenység folytatásának feltételeiről szóló 4/0997. (I.22.) Korm. rendelet,</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 xml:space="preserve">  A használati-kezelési útmutatóról és a minőség tanúsításáról szóló 2/1984. (III.10.) </w:t>
      </w:r>
      <w:proofErr w:type="spellStart"/>
      <w:r w:rsidRPr="0044571B">
        <w:rPr>
          <w:color w:val="000000"/>
        </w:rPr>
        <w:t>BkM-IpM</w:t>
      </w:r>
      <w:proofErr w:type="spellEnd"/>
      <w:r w:rsidRPr="0044571B">
        <w:rPr>
          <w:color w:val="000000"/>
        </w:rPr>
        <w:t xml:space="preserve"> rendelet,</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 xml:space="preserve"> A vásárlók minőségi kifogásainak intézéséről szóló 4/1978. (III.1.9 </w:t>
      </w:r>
      <w:proofErr w:type="spellStart"/>
      <w:r w:rsidRPr="0044571B">
        <w:rPr>
          <w:color w:val="000000"/>
        </w:rPr>
        <w:t>BkM</w:t>
      </w:r>
      <w:proofErr w:type="spellEnd"/>
      <w:r w:rsidRPr="0044571B">
        <w:rPr>
          <w:color w:val="000000"/>
        </w:rPr>
        <w:t xml:space="preserve"> rendelet,</w:t>
      </w:r>
    </w:p>
    <w:p w:rsidR="0044571B" w:rsidRPr="0044571B" w:rsidRDefault="0044571B" w:rsidP="0044571B">
      <w:pPr>
        <w:numPr>
          <w:ilvl w:val="0"/>
          <w:numId w:val="8"/>
        </w:numPr>
        <w:spacing w:before="100" w:beforeAutospacing="1" w:after="100" w:afterAutospacing="1" w:line="360" w:lineRule="auto"/>
        <w:ind w:left="1440"/>
        <w:jc w:val="both"/>
      </w:pPr>
      <w:r w:rsidRPr="0044571B">
        <w:rPr>
          <w:color w:val="000000"/>
        </w:rPr>
        <w:t>Az egyes ipari, kereskedelmi és idegenforgalmi tevékenységek gyakorlásához szükséges képesítésekről szóló 5/1997. (III.5.) IKIM rendelet.</w:t>
      </w:r>
    </w:p>
    <w:p w:rsidR="0044571B" w:rsidRPr="0044571B" w:rsidRDefault="0044571B" w:rsidP="0044571B">
      <w:pPr>
        <w:spacing w:before="240" w:after="240" w:line="360" w:lineRule="auto"/>
        <w:jc w:val="both"/>
      </w:pPr>
      <w:r w:rsidRPr="0044571B">
        <w:t>Harmonizált szabvány háttér:</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t>MSZ EN 71-1:2001 Gyermekjátékszerek biztonsága Mechanikai és fizikai    MSZ EN 71-2:1994 Gyermekjátékszerek biztonsága Gyúlékonyság,</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t xml:space="preserve">MSZ EN 71-3:1996 Gyermekjátékszerek biztonsága Bizonyos elemek </w:t>
      </w:r>
      <w:proofErr w:type="spellStart"/>
      <w:r w:rsidRPr="0044571B">
        <w:rPr>
          <w:color w:val="000000"/>
        </w:rPr>
        <w:t>migrálása</w:t>
      </w:r>
      <w:proofErr w:type="spellEnd"/>
      <w:r w:rsidRPr="0044571B">
        <w:rPr>
          <w:color w:val="000000"/>
        </w:rPr>
        <w:t>,</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t>MSZ EN 71-4:1993 Gyermekjátékszerek biztonsága Kísérletező készletek kémiai és hasonló kísérletekhez,</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t>MSZ EN 71-5:1994 Gyermekjátékszerek biztonsága Kémiai játék a kísérletező készletek kivételével,</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lastRenderedPageBreak/>
        <w:t>MSZ EN 71-6:1995 Gyermekjátékszerek biztonsága Grafikus jelképek az életkorcsoportra figyelmeztető utasítással való megjelölésre,</w:t>
      </w:r>
    </w:p>
    <w:p w:rsidR="0044571B" w:rsidRPr="0044571B" w:rsidRDefault="0044571B" w:rsidP="0044571B">
      <w:pPr>
        <w:numPr>
          <w:ilvl w:val="0"/>
          <w:numId w:val="9"/>
        </w:numPr>
        <w:spacing w:before="100" w:beforeAutospacing="1" w:after="100" w:afterAutospacing="1" w:line="360" w:lineRule="auto"/>
        <w:ind w:left="1440"/>
        <w:jc w:val="both"/>
      </w:pPr>
      <w:r w:rsidRPr="0044571B">
        <w:rPr>
          <w:color w:val="000000"/>
        </w:rPr>
        <w:t>MSZ EN 50088: Villamos játékok biztonsága.</w:t>
      </w:r>
    </w:p>
    <w:p w:rsidR="0044571B" w:rsidRPr="0044571B" w:rsidRDefault="0044571B" w:rsidP="0044571B">
      <w:pPr>
        <w:spacing w:before="240" w:after="240"/>
        <w:jc w:val="both"/>
      </w:pPr>
      <w:r w:rsidRPr="0044571B">
        <w:t>Harmonizálás előtt lévő szabványok:</w:t>
      </w:r>
    </w:p>
    <w:p w:rsidR="0044571B" w:rsidRPr="0044571B" w:rsidRDefault="0044571B" w:rsidP="0044571B">
      <w:pPr>
        <w:numPr>
          <w:ilvl w:val="0"/>
          <w:numId w:val="10"/>
        </w:numPr>
        <w:spacing w:before="100" w:beforeAutospacing="1" w:after="100" w:afterAutospacing="1" w:line="360" w:lineRule="auto"/>
        <w:ind w:left="1440"/>
        <w:jc w:val="both"/>
      </w:pPr>
      <w:r w:rsidRPr="0044571B">
        <w:rPr>
          <w:color w:val="000000"/>
        </w:rPr>
        <w:t>EN-71-7 Gyermekjátékszerek biztonsága Ujj festékek,</w:t>
      </w:r>
    </w:p>
    <w:p w:rsidR="0044571B" w:rsidRPr="0044571B" w:rsidRDefault="0044571B" w:rsidP="0044571B">
      <w:pPr>
        <w:numPr>
          <w:ilvl w:val="0"/>
          <w:numId w:val="10"/>
        </w:numPr>
        <w:spacing w:before="100" w:beforeAutospacing="1" w:after="100" w:afterAutospacing="1" w:line="360" w:lineRule="auto"/>
        <w:ind w:left="1440"/>
        <w:jc w:val="both"/>
      </w:pPr>
      <w:r w:rsidRPr="0044571B">
        <w:rPr>
          <w:color w:val="000000"/>
        </w:rPr>
        <w:t>EN 71-8 Gyermekjátékszerek biztonsága Gyermekek tömegét hordozó játékok.</w:t>
      </w:r>
    </w:p>
    <w:p w:rsidR="0044571B" w:rsidRPr="0044571B" w:rsidRDefault="0044571B" w:rsidP="0044571B">
      <w:pPr>
        <w:spacing w:before="100" w:beforeAutospacing="1" w:after="240"/>
      </w:pPr>
      <w:r w:rsidRPr="0044571B">
        <w:rPr>
          <w:b/>
          <w:bCs/>
        </w:rPr>
        <w:t>Forrás:</w:t>
      </w:r>
      <w:r w:rsidRPr="0044571B">
        <w:t xml:space="preserve"> Fogyasztóvédelmi Főfelügyelőség </w:t>
      </w:r>
    </w:p>
    <w:p w:rsidR="00497CD2" w:rsidRPr="0044571B" w:rsidRDefault="00497CD2"/>
    <w:sectPr w:rsidR="00497CD2" w:rsidRPr="00445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0400"/>
    <w:multiLevelType w:val="multilevel"/>
    <w:tmpl w:val="3A18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A46D0"/>
    <w:multiLevelType w:val="multilevel"/>
    <w:tmpl w:val="DA3C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C462EB"/>
    <w:multiLevelType w:val="multilevel"/>
    <w:tmpl w:val="4824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A77D1"/>
    <w:multiLevelType w:val="multilevel"/>
    <w:tmpl w:val="B996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57421"/>
    <w:multiLevelType w:val="multilevel"/>
    <w:tmpl w:val="C920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33B9F"/>
    <w:multiLevelType w:val="multilevel"/>
    <w:tmpl w:val="F99E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15842"/>
    <w:multiLevelType w:val="multilevel"/>
    <w:tmpl w:val="517A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233BE3"/>
    <w:multiLevelType w:val="multilevel"/>
    <w:tmpl w:val="88C0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452EF"/>
    <w:multiLevelType w:val="multilevel"/>
    <w:tmpl w:val="C84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71C12"/>
    <w:multiLevelType w:val="multilevel"/>
    <w:tmpl w:val="2C5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7"/>
  </w:num>
  <w:num w:numId="5">
    <w:abstractNumId w:val="6"/>
  </w:num>
  <w:num w:numId="6">
    <w:abstractNumId w:val="1"/>
  </w:num>
  <w:num w:numId="7">
    <w:abstractNumId w:val="5"/>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E61"/>
    <w:rsid w:val="0044571B"/>
    <w:rsid w:val="00497CD2"/>
    <w:rsid w:val="00C93E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571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571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12116</Characters>
  <Application>Microsoft Office Word</Application>
  <DocSecurity>0</DocSecurity>
  <Lines>100</Lines>
  <Paragraphs>27</Paragraphs>
  <ScaleCrop>false</ScaleCrop>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dc:creator>
  <cp:keywords/>
  <dc:description/>
  <cp:lastModifiedBy>Dudi</cp:lastModifiedBy>
  <cp:revision>2</cp:revision>
  <dcterms:created xsi:type="dcterms:W3CDTF">2013-10-16T21:52:00Z</dcterms:created>
  <dcterms:modified xsi:type="dcterms:W3CDTF">2013-10-16T21:53:00Z</dcterms:modified>
</cp:coreProperties>
</file>